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894979">
        <w:rPr>
          <w:rFonts w:hint="eastAsia"/>
          <w:b/>
          <w:color w:val="FF0000"/>
          <w:sz w:val="52"/>
          <w:szCs w:val="52"/>
        </w:rPr>
        <w:t>上海理工大学管理学院文件</w:t>
      </w:r>
    </w:p>
    <w:p w:rsidR="00BA7F47" w:rsidRPr="00894979" w:rsidRDefault="00BA7F47" w:rsidP="00BA7F47">
      <w:pPr>
        <w:pStyle w:val="Default"/>
        <w:spacing w:beforeLines="100" w:before="312"/>
        <w:jc w:val="center"/>
        <w:rPr>
          <w:color w:val="auto"/>
          <w:sz w:val="32"/>
          <w:szCs w:val="32"/>
        </w:rPr>
      </w:pPr>
      <w:r w:rsidRPr="00894979">
        <w:rPr>
          <w:rFonts w:hint="eastAsia"/>
          <w:color w:val="auto"/>
          <w:sz w:val="32"/>
          <w:szCs w:val="32"/>
        </w:rPr>
        <w:t>上理管</w:t>
      </w:r>
      <w:r w:rsidR="00C96CE9" w:rsidRPr="00894979">
        <w:rPr>
          <w:rFonts w:hint="eastAsia"/>
          <w:color w:val="auto"/>
          <w:sz w:val="32"/>
          <w:szCs w:val="32"/>
        </w:rPr>
        <w:t>〔20</w:t>
      </w:r>
      <w:r w:rsidR="00E63551" w:rsidRPr="00894979">
        <w:rPr>
          <w:color w:val="auto"/>
          <w:sz w:val="32"/>
          <w:szCs w:val="32"/>
        </w:rPr>
        <w:t>20</w:t>
      </w:r>
      <w:r w:rsidR="00C96CE9" w:rsidRPr="00894979">
        <w:rPr>
          <w:rFonts w:hint="eastAsia"/>
          <w:color w:val="auto"/>
          <w:sz w:val="32"/>
          <w:szCs w:val="32"/>
        </w:rPr>
        <w:t>〕</w:t>
      </w:r>
      <w:r w:rsidR="004F7F2E" w:rsidRPr="00894979">
        <w:rPr>
          <w:color w:val="auto"/>
          <w:sz w:val="32"/>
          <w:szCs w:val="32"/>
        </w:rPr>
        <w:t>21</w:t>
      </w:r>
      <w:r w:rsidRPr="00894979">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C2F5"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E63551" w:rsidRPr="009D42DA" w:rsidRDefault="004F7F2E" w:rsidP="009D42DA">
      <w:pPr>
        <w:spacing w:after="240"/>
        <w:jc w:val="center"/>
        <w:rPr>
          <w:rFonts w:ascii="Calibri" w:eastAsia="宋体" w:hAnsi="Calibri" w:cs="Times New Roman"/>
          <w:b/>
          <w:sz w:val="36"/>
          <w:szCs w:val="36"/>
        </w:rPr>
      </w:pPr>
      <w:r w:rsidRPr="009D42DA">
        <w:rPr>
          <w:rFonts w:ascii="Calibri" w:eastAsia="宋体" w:hAnsi="Calibri" w:cs="Times New Roman" w:hint="eastAsia"/>
          <w:b/>
          <w:sz w:val="36"/>
          <w:szCs w:val="36"/>
        </w:rPr>
        <w:t>管理学院博士后管理办法</w:t>
      </w:r>
    </w:p>
    <w:p w:rsidR="00E63551" w:rsidRPr="009D42DA" w:rsidRDefault="00E63551" w:rsidP="009D42DA">
      <w:pPr>
        <w:spacing w:after="240"/>
        <w:rPr>
          <w:rFonts w:ascii="Arial" w:eastAsia="宋体" w:hAnsi="Arial" w:cs="Arial"/>
          <w:kern w:val="0"/>
          <w:sz w:val="30"/>
          <w:szCs w:val="30"/>
        </w:rPr>
      </w:pPr>
      <w:r w:rsidRPr="009D42DA">
        <w:rPr>
          <w:rFonts w:ascii="Arial" w:eastAsia="宋体" w:hAnsi="Arial" w:cs="Arial" w:hint="eastAsia"/>
          <w:kern w:val="0"/>
          <w:sz w:val="30"/>
          <w:szCs w:val="30"/>
        </w:rPr>
        <w:t>院内各部门：</w:t>
      </w:r>
    </w:p>
    <w:p w:rsidR="004F7F2E" w:rsidRPr="009D42DA" w:rsidRDefault="004F7F2E" w:rsidP="009D42DA">
      <w:pPr>
        <w:spacing w:after="240"/>
        <w:ind w:firstLine="567"/>
        <w:rPr>
          <w:rFonts w:ascii="Arial" w:eastAsia="宋体" w:hAnsi="Arial" w:cs="Arial"/>
          <w:kern w:val="0"/>
          <w:sz w:val="30"/>
          <w:szCs w:val="30"/>
        </w:rPr>
      </w:pPr>
      <w:r w:rsidRPr="009D42DA">
        <w:rPr>
          <w:rFonts w:ascii="Arial" w:eastAsia="宋体" w:hAnsi="Arial" w:cs="Arial" w:hint="eastAsia"/>
          <w:kern w:val="0"/>
          <w:sz w:val="30"/>
          <w:szCs w:val="30"/>
        </w:rPr>
        <w:t>本办法适用于本院管理科学与工程博士后科研流动站、系统科学博士后科研流动站，含四个具体规定：</w:t>
      </w:r>
    </w:p>
    <w:p w:rsidR="004F7F2E" w:rsidRPr="009D42DA" w:rsidRDefault="004F7F2E" w:rsidP="009D42DA">
      <w:pPr>
        <w:spacing w:after="240"/>
        <w:ind w:firstLine="567"/>
        <w:rPr>
          <w:rFonts w:ascii="Arial" w:eastAsia="宋体" w:hAnsi="Arial" w:cs="Arial"/>
          <w:kern w:val="0"/>
          <w:sz w:val="30"/>
          <w:szCs w:val="30"/>
        </w:rPr>
      </w:pPr>
      <w:r w:rsidRPr="009D42DA">
        <w:rPr>
          <w:rFonts w:ascii="Arial" w:eastAsia="宋体" w:hAnsi="Arial" w:cs="Arial" w:hint="eastAsia"/>
          <w:kern w:val="0"/>
          <w:sz w:val="30"/>
          <w:szCs w:val="30"/>
        </w:rPr>
        <w:t>《管理科学与工程沪江博士后管理办法》</w:t>
      </w:r>
    </w:p>
    <w:p w:rsidR="004F7F2E" w:rsidRPr="009D42DA" w:rsidRDefault="004F7F2E" w:rsidP="009D42DA">
      <w:pPr>
        <w:spacing w:after="240"/>
        <w:ind w:firstLine="567"/>
        <w:rPr>
          <w:rFonts w:ascii="Arial" w:eastAsia="宋体" w:hAnsi="Arial" w:cs="Arial"/>
          <w:kern w:val="0"/>
          <w:sz w:val="30"/>
          <w:szCs w:val="30"/>
        </w:rPr>
      </w:pPr>
      <w:r w:rsidRPr="009D42DA">
        <w:rPr>
          <w:rFonts w:ascii="Arial" w:eastAsia="宋体" w:hAnsi="Arial" w:cs="Arial" w:hint="eastAsia"/>
          <w:kern w:val="0"/>
          <w:sz w:val="30"/>
          <w:szCs w:val="30"/>
        </w:rPr>
        <w:t>《管理科学与工程师资、科研、在职博士后管理办法》</w:t>
      </w:r>
    </w:p>
    <w:p w:rsidR="004F7F2E" w:rsidRPr="009D42DA" w:rsidRDefault="004F7F2E" w:rsidP="009D42DA">
      <w:pPr>
        <w:spacing w:after="240"/>
        <w:ind w:firstLine="567"/>
        <w:rPr>
          <w:rFonts w:ascii="Arial" w:eastAsia="宋体" w:hAnsi="Arial" w:cs="Arial"/>
          <w:kern w:val="0"/>
          <w:sz w:val="30"/>
          <w:szCs w:val="30"/>
        </w:rPr>
      </w:pPr>
      <w:r w:rsidRPr="009D42DA">
        <w:rPr>
          <w:rFonts w:ascii="Arial" w:eastAsia="宋体" w:hAnsi="Arial" w:cs="Arial" w:hint="eastAsia"/>
          <w:kern w:val="0"/>
          <w:sz w:val="30"/>
          <w:szCs w:val="30"/>
        </w:rPr>
        <w:t>《系统科学沪江博士后管理办法》</w:t>
      </w:r>
    </w:p>
    <w:p w:rsidR="004E2A01" w:rsidRPr="009D42DA" w:rsidRDefault="004F7F2E" w:rsidP="009D42DA">
      <w:pPr>
        <w:spacing w:after="240"/>
        <w:ind w:firstLine="567"/>
        <w:rPr>
          <w:rFonts w:ascii="Arial" w:eastAsia="宋体" w:hAnsi="Arial" w:cs="Arial"/>
          <w:kern w:val="0"/>
          <w:sz w:val="30"/>
          <w:szCs w:val="30"/>
        </w:rPr>
      </w:pPr>
      <w:r w:rsidRPr="009D42DA">
        <w:rPr>
          <w:rFonts w:ascii="Arial" w:eastAsia="宋体" w:hAnsi="Arial" w:cs="Arial" w:hint="eastAsia"/>
          <w:kern w:val="0"/>
          <w:sz w:val="30"/>
          <w:szCs w:val="30"/>
        </w:rPr>
        <w:t>《系统科学师资、科研、在职博士后管理办法》</w:t>
      </w:r>
    </w:p>
    <w:p w:rsidR="00271631" w:rsidRDefault="00271631"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894979" w:rsidRDefault="00894979">
      <w:pPr>
        <w:widowControl/>
        <w:jc w:val="left"/>
        <w:rPr>
          <w:rFonts w:ascii="仿宋_GB2312" w:eastAsia="仿宋_GB2312" w:hAnsi="Times New Roman" w:cs="Times New Roman"/>
          <w:sz w:val="28"/>
          <w:szCs w:val="28"/>
        </w:rPr>
      </w:pPr>
      <w:r>
        <w:rPr>
          <w:rFonts w:ascii="仿宋_GB2312" w:eastAsia="仿宋_GB2312" w:hAnsi="Times New Roman" w:cs="Times New Roman"/>
          <w:sz w:val="28"/>
          <w:szCs w:val="28"/>
        </w:rPr>
        <w:br w:type="page"/>
      </w:r>
    </w:p>
    <w:p w:rsidR="004F7F2E" w:rsidRPr="009D42DA" w:rsidRDefault="004F7F2E" w:rsidP="009D42DA">
      <w:pPr>
        <w:spacing w:after="240"/>
        <w:jc w:val="center"/>
        <w:rPr>
          <w:rFonts w:ascii="Calibri" w:eastAsia="宋体" w:hAnsi="Calibri" w:cs="Times New Roman"/>
          <w:b/>
          <w:sz w:val="36"/>
          <w:szCs w:val="36"/>
        </w:rPr>
      </w:pPr>
      <w:r w:rsidRPr="009D42DA">
        <w:rPr>
          <w:rFonts w:ascii="Calibri" w:eastAsia="宋体" w:hAnsi="Calibri" w:cs="Times New Roman" w:hint="eastAsia"/>
          <w:b/>
          <w:sz w:val="36"/>
          <w:szCs w:val="36"/>
        </w:rPr>
        <w:lastRenderedPageBreak/>
        <w:t>管理科学与工程沪江博士后管理办法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为促进上海理工大学高水平大学建设，加大高水平及学科吸引和储备高层次创新型青年人才，根据学校的相关政策和管理学院的发展需要，特制订本办法。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一、管理机构和办法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由流动站负责人牵头成立人才引进及考核专家小组，一般为</w:t>
      </w:r>
      <w:r w:rsidRPr="009D42DA">
        <w:rPr>
          <w:rFonts w:ascii="Arial" w:eastAsia="宋体" w:hAnsi="Arial" w:cs="Times New Roman" w:hint="eastAsia"/>
          <w:sz w:val="28"/>
          <w:szCs w:val="28"/>
        </w:rPr>
        <w:t>3-5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学院成立由学院主要领导和高水平及学科团队专家组成的博士后引进评审小组（以下简称“学院评审小组”），一般为</w:t>
      </w: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人；成立由学院主要领导和团队带头人组成的博士后考核小组（以下简称</w:t>
      </w:r>
      <w:r w:rsidRPr="009D42DA">
        <w:rPr>
          <w:rFonts w:ascii="Arial" w:eastAsia="宋体" w:hAnsi="Arial" w:cs="Times New Roman" w:hint="eastAsia"/>
          <w:sz w:val="28"/>
          <w:szCs w:val="28"/>
        </w:rPr>
        <w:t xml:space="preserve"> </w:t>
      </w:r>
      <w:r w:rsidRPr="009D42DA">
        <w:rPr>
          <w:rFonts w:ascii="Arial" w:eastAsia="宋体" w:hAnsi="Arial" w:cs="Times New Roman" w:hint="eastAsia"/>
          <w:sz w:val="28"/>
          <w:szCs w:val="28"/>
        </w:rPr>
        <w:t>“学院考核小组”），一般为</w:t>
      </w: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本办法所涉及人员聘期一般为</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年，以工作协议签订时间为准。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本办法所涉及人员必须全职来校工作。</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本办法所涉及人员原则上必须在高水平及学科团队中从事科学研究工作，由团队负责安排具体的科研任务和协议条款，交学院评审小组批准。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二、准入条件</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申请者一般应为获得博士学位不超过</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年的博士毕业生，年龄不超过</w:t>
      </w:r>
      <w:r w:rsidRPr="009D42DA">
        <w:rPr>
          <w:rFonts w:ascii="Arial" w:eastAsia="宋体" w:hAnsi="Arial" w:cs="Times New Roman" w:hint="eastAsia"/>
          <w:sz w:val="28"/>
          <w:szCs w:val="28"/>
        </w:rPr>
        <w:t xml:space="preserve">35 </w:t>
      </w:r>
      <w:r w:rsidRPr="009D42DA">
        <w:rPr>
          <w:rFonts w:ascii="Arial" w:eastAsia="宋体" w:hAnsi="Arial" w:cs="Times New Roman" w:hint="eastAsia"/>
          <w:sz w:val="28"/>
          <w:szCs w:val="28"/>
        </w:rPr>
        <w:t>周岁，外籍人员需符合外籍人员来华工作相关规定。</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进站博士后要求在近三年中发表</w:t>
      </w:r>
      <w:r w:rsidRPr="009D42DA">
        <w:rPr>
          <w:rFonts w:ascii="Arial" w:eastAsia="宋体" w:hAnsi="Arial" w:cs="Times New Roman" w:hint="eastAsia"/>
          <w:sz w:val="28"/>
          <w:szCs w:val="28"/>
        </w:rPr>
        <w:t xml:space="preserve"> SCI /SSCI/</w:t>
      </w:r>
      <w:r w:rsidRPr="009D42DA">
        <w:rPr>
          <w:rFonts w:ascii="Arial" w:eastAsia="宋体" w:hAnsi="Arial" w:cs="Times New Roman" w:hint="eastAsia"/>
          <w:sz w:val="28"/>
          <w:szCs w:val="28"/>
        </w:rPr>
        <w:t>基金委</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种期刊论文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篇以上（第一作者见刊）。</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引进人员须通过流动站专家小组评议和学院评审小组审核，并</w:t>
      </w:r>
      <w:r w:rsidRPr="009D42DA">
        <w:rPr>
          <w:rFonts w:ascii="Arial" w:eastAsia="宋体" w:hAnsi="Arial" w:cs="Times New Roman" w:hint="eastAsia"/>
          <w:sz w:val="28"/>
          <w:szCs w:val="28"/>
        </w:rPr>
        <w:lastRenderedPageBreak/>
        <w:t>获学校批准后方可入职。</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三、任务目标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聘期内须以负责人承担</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项国家自然或社会科学基金项目，并积极申报中国博士后科学基金；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在聘期内以第一作者发表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基金委</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种期刊论文</w:t>
      </w:r>
      <w:r w:rsidRPr="009D42DA">
        <w:rPr>
          <w:rFonts w:ascii="Arial" w:eastAsia="宋体" w:hAnsi="Arial" w:cs="Times New Roman" w:hint="eastAsia"/>
          <w:sz w:val="28"/>
          <w:szCs w:val="28"/>
        </w:rPr>
        <w:t xml:space="preserve"> 2</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每年完成</w:t>
      </w:r>
      <w:r w:rsidRPr="009D42DA">
        <w:rPr>
          <w:rFonts w:ascii="Arial" w:eastAsia="宋体" w:hAnsi="Arial" w:cs="Times New Roman" w:hint="eastAsia"/>
          <w:sz w:val="28"/>
          <w:szCs w:val="28"/>
        </w:rPr>
        <w:t>32</w:t>
      </w:r>
      <w:r w:rsidRPr="009D42DA">
        <w:rPr>
          <w:rFonts w:ascii="Arial" w:eastAsia="宋体" w:hAnsi="Arial" w:cs="Times New Roman" w:hint="eastAsia"/>
          <w:sz w:val="28"/>
          <w:szCs w:val="28"/>
        </w:rPr>
        <w:t>学时以上本科教学工作量。</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注：以上所有研究成果须以上海理工大学为第一单位，论文分区标准以学校科技处规定为准。另，出版专著</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本可等同</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完成博士后流动站、学科和联系导师布置的其他任务。</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四、相关待遇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学校提供沪江博士后专项资金每人每年</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万元，其中</w:t>
      </w:r>
      <w:r w:rsidRPr="009D42DA">
        <w:rPr>
          <w:rFonts w:ascii="Arial" w:eastAsia="宋体" w:hAnsi="Arial" w:cs="Times New Roman" w:hint="eastAsia"/>
          <w:sz w:val="28"/>
          <w:szCs w:val="28"/>
        </w:rPr>
        <w:t>15</w:t>
      </w:r>
      <w:r w:rsidRPr="009D42DA">
        <w:rPr>
          <w:rFonts w:ascii="Arial" w:eastAsia="宋体" w:hAnsi="Arial" w:cs="Times New Roman" w:hint="eastAsia"/>
          <w:sz w:val="28"/>
          <w:szCs w:val="28"/>
        </w:rPr>
        <w:t>万为基础津贴，基础津贴发放原则按管理和考核办法执行；</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万为科研经费；</w:t>
      </w:r>
      <w:r w:rsidRPr="009D42DA">
        <w:rPr>
          <w:rFonts w:ascii="Arial" w:eastAsia="宋体" w:hAnsi="Arial" w:cs="Times New Roman" w:hint="eastAsia"/>
          <w:sz w:val="28"/>
          <w:szCs w:val="28"/>
        </w:rPr>
        <w:t>6</w:t>
      </w:r>
      <w:r w:rsidRPr="009D42DA">
        <w:rPr>
          <w:rFonts w:ascii="Arial" w:eastAsia="宋体" w:hAnsi="Arial" w:cs="Times New Roman" w:hint="eastAsia"/>
          <w:sz w:val="28"/>
          <w:szCs w:val="28"/>
        </w:rPr>
        <w:t>万元为购租房补贴，每月按</w:t>
      </w:r>
      <w:r w:rsidRPr="009D42DA">
        <w:rPr>
          <w:rFonts w:ascii="Arial" w:eastAsia="宋体" w:hAnsi="Arial" w:cs="Times New Roman" w:hint="eastAsia"/>
          <w:sz w:val="28"/>
          <w:szCs w:val="28"/>
        </w:rPr>
        <w:t>0.5</w:t>
      </w:r>
      <w:r w:rsidRPr="009D42DA">
        <w:rPr>
          <w:rFonts w:ascii="Arial" w:eastAsia="宋体" w:hAnsi="Arial" w:cs="Times New Roman" w:hint="eastAsia"/>
          <w:sz w:val="28"/>
          <w:szCs w:val="28"/>
        </w:rPr>
        <w:t>万元发放；学校设立考核奖励金，按每人每年</w:t>
      </w:r>
      <w:r w:rsidRPr="009D42DA">
        <w:rPr>
          <w:rFonts w:ascii="Arial" w:eastAsia="宋体" w:hAnsi="Arial" w:cs="Times New Roman" w:hint="eastAsia"/>
          <w:sz w:val="28"/>
          <w:szCs w:val="28"/>
        </w:rPr>
        <w:t>6</w:t>
      </w:r>
      <w:r w:rsidRPr="009D42DA">
        <w:rPr>
          <w:rFonts w:ascii="Arial" w:eastAsia="宋体" w:hAnsi="Arial" w:cs="Times New Roman" w:hint="eastAsia"/>
          <w:sz w:val="28"/>
          <w:szCs w:val="28"/>
        </w:rPr>
        <w:t>万元统筹，以年度考核结果发放，考核结果合格则全额发放，不合格不发放。</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博士后人员进站前未进行过职称评定的，进站后认定为中级职称，在站期间可申请高级职称评定，学校根据其科研能力、学术水平、工作成果等，为其评定专业技术职称任职资格。</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五、考核办法</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年度考核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lastRenderedPageBreak/>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）每年博士后本人提交年度成果报告，由团队和学院考核小组考核，考核结果分为合格与不合格，不合格者下一年待遇及经费按照上一年的</w:t>
      </w:r>
      <w:r w:rsidRPr="009D42DA">
        <w:rPr>
          <w:rFonts w:ascii="Arial" w:eastAsia="宋体" w:hAnsi="Arial" w:cs="Times New Roman" w:hint="eastAsia"/>
          <w:sz w:val="28"/>
          <w:szCs w:val="28"/>
        </w:rPr>
        <w:t>50%</w:t>
      </w:r>
      <w:r w:rsidRPr="009D42DA">
        <w:rPr>
          <w:rFonts w:ascii="Arial" w:eastAsia="宋体" w:hAnsi="Arial" w:cs="Times New Roman" w:hint="eastAsia"/>
          <w:sz w:val="28"/>
          <w:szCs w:val="28"/>
        </w:rPr>
        <w:t>发放；</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第一年考核标准以第一作者发表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基金委</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种期刊论文</w:t>
      </w:r>
      <w:r w:rsidRPr="009D42DA">
        <w:rPr>
          <w:rFonts w:ascii="Arial" w:eastAsia="宋体" w:hAnsi="Arial" w:cs="Times New Roman" w:hint="eastAsia"/>
          <w:sz w:val="28"/>
          <w:szCs w:val="28"/>
        </w:rPr>
        <w:t xml:space="preserve"> 1</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篇（见刊或录用）：</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第二年考核标准：以第一作者发表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基金委</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种期刊论文</w:t>
      </w:r>
      <w:r w:rsidRPr="009D42DA">
        <w:rPr>
          <w:rFonts w:ascii="Arial" w:eastAsia="宋体" w:hAnsi="Arial" w:cs="Times New Roman" w:hint="eastAsia"/>
          <w:sz w:val="28"/>
          <w:szCs w:val="28"/>
        </w:rPr>
        <w:t xml:space="preserve"> 2</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篇（见刊或录用）。</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）连续两年考核结果为不合格，则予以退站处理。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聘期考核</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聘期期满由本人提交聘期考核表，流动站专家小组初评后由学院考核小组考核，考核结果分为合格和不合格。经学院考核后，交学校专家组评议，认定考核结果。</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六、协议与合同</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申请进站的沪江博士后与学校签订劳动合同，一般为</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年；同时，与学院签订工作协议书，约定任务目标、薪资待遇以及考核办法等。</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七、续聘及留任</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符合条件的博士后，聘期内可以上海理工大学为第一单位申报各类人才计划。</w:t>
      </w:r>
    </w:p>
    <w:p w:rsidR="004F7F2E" w:rsidRPr="009D42DA" w:rsidRDefault="004F7F2E" w:rsidP="004F7F2E">
      <w:pPr>
        <w:pStyle w:val="1"/>
        <w:jc w:val="center"/>
        <w:rPr>
          <w:rFonts w:ascii="Arial" w:eastAsia="宋体" w:hAnsi="Arial"/>
          <w:sz w:val="36"/>
          <w:szCs w:val="36"/>
        </w:rPr>
        <w:sectPr w:rsidR="004F7F2E" w:rsidRPr="009D42DA" w:rsidSect="00BA7F47">
          <w:pgSz w:w="11906" w:h="16838"/>
          <w:pgMar w:top="1440" w:right="1800" w:bottom="1440" w:left="1800" w:header="851" w:footer="992" w:gutter="0"/>
          <w:cols w:space="425"/>
          <w:docGrid w:type="lines" w:linePitch="312"/>
        </w:sectPr>
      </w:pPr>
    </w:p>
    <w:p w:rsidR="004F7F2E" w:rsidRPr="009D42DA" w:rsidRDefault="004F7F2E" w:rsidP="009D42DA">
      <w:pPr>
        <w:spacing w:after="240"/>
        <w:jc w:val="center"/>
        <w:rPr>
          <w:rFonts w:ascii="Calibri" w:eastAsia="宋体" w:hAnsi="Calibri" w:cs="Times New Roman"/>
          <w:b/>
          <w:sz w:val="36"/>
          <w:szCs w:val="36"/>
        </w:rPr>
      </w:pPr>
      <w:r w:rsidRPr="009D42DA">
        <w:rPr>
          <w:rFonts w:ascii="Calibri" w:eastAsia="宋体" w:hAnsi="Calibri" w:cs="Times New Roman" w:hint="eastAsia"/>
          <w:b/>
          <w:sz w:val="36"/>
          <w:szCs w:val="36"/>
        </w:rPr>
        <w:lastRenderedPageBreak/>
        <w:t>管理科学与工程师资、科研、在职博士后管理办法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为促进管理科学与工程博士后流动站发展，根据学校的相关政策和管理学院的发展需要，特制订本办法。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一、管理机构和办法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由流动站负责人牵头成立人才引进及考核专家小组，一般为</w:t>
      </w:r>
      <w:r w:rsidRPr="009D42DA">
        <w:rPr>
          <w:rFonts w:ascii="Arial" w:eastAsia="宋体" w:hAnsi="Arial" w:cs="Times New Roman" w:hint="eastAsia"/>
          <w:sz w:val="28"/>
          <w:szCs w:val="28"/>
        </w:rPr>
        <w:t>3-5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学院成立由流动站、学院主要领导和各相关学科负责人组成的博士后引进评审小组（以下简称“学院评审小组”）及考核小组（以下简称</w:t>
      </w:r>
      <w:r w:rsidRPr="009D42DA">
        <w:rPr>
          <w:rFonts w:ascii="Arial" w:eastAsia="宋体" w:hAnsi="Arial" w:cs="Times New Roman" w:hint="eastAsia"/>
          <w:sz w:val="28"/>
          <w:szCs w:val="28"/>
        </w:rPr>
        <w:t xml:space="preserve"> </w:t>
      </w:r>
      <w:r w:rsidRPr="009D42DA">
        <w:rPr>
          <w:rFonts w:ascii="Arial" w:eastAsia="宋体" w:hAnsi="Arial" w:cs="Times New Roman" w:hint="eastAsia"/>
          <w:sz w:val="28"/>
          <w:szCs w:val="28"/>
        </w:rPr>
        <w:t>“学院考核小组”），一般为</w:t>
      </w: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本办法所涉及人员聘期为</w:t>
      </w:r>
      <w:r w:rsidRPr="009D42DA">
        <w:rPr>
          <w:rFonts w:ascii="Arial" w:eastAsia="宋体" w:hAnsi="Arial" w:cs="Times New Roman" w:hint="eastAsia"/>
          <w:sz w:val="28"/>
          <w:szCs w:val="28"/>
        </w:rPr>
        <w:t xml:space="preserve"> 2</w:t>
      </w:r>
      <w:r w:rsidRPr="009D42DA">
        <w:rPr>
          <w:rFonts w:ascii="Arial" w:eastAsia="宋体" w:hAnsi="Arial" w:cs="Times New Roman" w:hint="eastAsia"/>
          <w:sz w:val="28"/>
          <w:szCs w:val="28"/>
        </w:rPr>
        <w:t>年，以工作协议签订时间为准。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本办法所涉及人员必须全职来校工作。</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二、准入条件</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申请者一般应为获得博士学位不超过</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年的博士毕业生，年龄不超过</w:t>
      </w:r>
      <w:r w:rsidRPr="009D42DA">
        <w:rPr>
          <w:rFonts w:ascii="Arial" w:eastAsia="宋体" w:hAnsi="Arial" w:cs="Times New Roman" w:hint="eastAsia"/>
          <w:sz w:val="28"/>
          <w:szCs w:val="28"/>
        </w:rPr>
        <w:t xml:space="preserve">35 </w:t>
      </w:r>
      <w:r w:rsidRPr="009D42DA">
        <w:rPr>
          <w:rFonts w:ascii="Arial" w:eastAsia="宋体" w:hAnsi="Arial" w:cs="Times New Roman" w:hint="eastAsia"/>
          <w:sz w:val="28"/>
          <w:szCs w:val="28"/>
        </w:rPr>
        <w:t>周岁，外籍人员需满足国际交流处相关规定，不得从事在职博士后。</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师资博士后要求：</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进站师资博士后要求在近三年中发表</w:t>
      </w:r>
      <w:r w:rsidRPr="009D42DA">
        <w:rPr>
          <w:rFonts w:ascii="Arial" w:eastAsia="宋体" w:hAnsi="Arial" w:cs="Times New Roman" w:hint="eastAsia"/>
          <w:sz w:val="28"/>
          <w:szCs w:val="28"/>
        </w:rPr>
        <w:t xml:space="preserve"> SCI /SSCI/</w:t>
      </w:r>
      <w:r w:rsidRPr="009D42DA">
        <w:rPr>
          <w:rFonts w:ascii="Arial" w:eastAsia="宋体" w:hAnsi="Arial" w:cs="Times New Roman" w:hint="eastAsia"/>
          <w:sz w:val="28"/>
          <w:szCs w:val="28"/>
        </w:rPr>
        <w:t>基金委</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种期刊</w:t>
      </w: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权威</w:t>
      </w:r>
      <w:r w:rsidRPr="009D42DA">
        <w:rPr>
          <w:rFonts w:ascii="Arial" w:eastAsia="宋体" w:hAnsi="Arial" w:cs="Times New Roman" w:hint="eastAsia"/>
          <w:sz w:val="28"/>
          <w:szCs w:val="28"/>
        </w:rPr>
        <w:t>CSSCI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篇以上（第一作者见刊）。</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师资博士后必须通过流动站专家小组评议和学院评审小组审核，并获学校批准后方可准入。</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三、任务目标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师资博士后：主持省部级项目</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项，发表校定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篇（至</w:t>
      </w:r>
      <w:r w:rsidRPr="009D42DA">
        <w:rPr>
          <w:rFonts w:ascii="Arial" w:eastAsia="宋体" w:hAnsi="Arial" w:cs="Times New Roman" w:hint="eastAsia"/>
          <w:sz w:val="28"/>
          <w:szCs w:val="28"/>
        </w:rPr>
        <w:lastRenderedPageBreak/>
        <w:t>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篇），每年承担本科教学课程，授课达</w:t>
      </w:r>
      <w:r w:rsidRPr="009D42DA">
        <w:rPr>
          <w:rFonts w:ascii="Arial" w:eastAsia="宋体" w:hAnsi="Arial" w:cs="Times New Roman" w:hint="eastAsia"/>
          <w:sz w:val="28"/>
          <w:szCs w:val="28"/>
        </w:rPr>
        <w:t>32</w:t>
      </w:r>
      <w:r w:rsidRPr="009D42DA">
        <w:rPr>
          <w:rFonts w:ascii="Arial" w:eastAsia="宋体" w:hAnsi="Arial" w:cs="Times New Roman" w:hint="eastAsia"/>
          <w:sz w:val="28"/>
          <w:szCs w:val="28"/>
        </w:rPr>
        <w:t>学时以上。聘期内积极申报中国博士后科学基金；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科研博士后：发表校定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篇）。聘期内积极申报中国博士后科学基金。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在职博士后：发表校定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篇）。聘期内积极申报中国博士后科学基金。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注：以上所有研究成果必须以上海理工大学为第一单位，论文分区标准以学校科技处规定为准。出版专著</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本可等同</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完成博士后流动站、学院和联系导师布置的其他任务。</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四、相关待遇及经费</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师资博士后、科研博士后、在职博士后：按照学校规定发放。</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博士后人员进站前未进行过职称评定的，进站后认定为中级职称，在站期间可申请高级职称评定，学校根据其科研能力、学术水平、工作成果等，为其评定专业技术职称任职资格。</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博士后进站前进行过职称评定的，进站后由校人事部门认定。</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五、考核办法</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开题报告：进站后</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个月内提交。</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中期考核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）师资博士后：进站</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年博士后本人提交中期成果报告，由流动站会同学院考核小组考核；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）科研博士后：进站</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年博士后本人提交中期成果报告，由流动站会同学院考核小组考核；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lastRenderedPageBreak/>
        <w:t>（</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）在职博士后：进站</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年博士后本人提交中期成果报告，由流动站会同学院考核小组考核。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出站考核</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）师资博士后：聘期期满由本人提交聘期出站成果报告，由流动站会同学院、学校考核小组进行答辩考核；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）科研博士后：聘期期满由本人提交聘期出站成果报告，由流动站会同学校进行答辩考核；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）在职博士后：聘期期满由本人提交聘期出站成果报告，由流动站会同学校进行答辩考核。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考核结果分为特优、优秀、合格、不合格。经学院审定后，报学校办理出站手续。</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六、协议与合同</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博士后进站需签订相关协议及工作任务书。</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七、留任及出站</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）师资博士后聘期考核为</w:t>
      </w:r>
      <w:r w:rsidR="00700D73">
        <w:rPr>
          <w:rFonts w:ascii="Arial" w:eastAsia="宋体" w:hAnsi="Arial" w:cs="Times New Roman" w:hint="eastAsia"/>
          <w:sz w:val="28"/>
          <w:szCs w:val="28"/>
        </w:rPr>
        <w:t>合格</w:t>
      </w:r>
      <w:r w:rsidRPr="009D42DA">
        <w:rPr>
          <w:rFonts w:ascii="Arial" w:eastAsia="宋体" w:hAnsi="Arial" w:cs="Times New Roman" w:hint="eastAsia"/>
          <w:sz w:val="28"/>
          <w:szCs w:val="28"/>
        </w:rPr>
        <w:t>者可申请转入学校正式编制或自主择业</w:t>
      </w:r>
      <w:r w:rsidRPr="009D42DA">
        <w:rPr>
          <w:rFonts w:ascii="Arial" w:eastAsia="宋体" w:hAnsi="Arial" w:cs="Times New Roman" w:hint="eastAsia"/>
          <w:sz w:val="28"/>
          <w:szCs w:val="28"/>
        </w:rPr>
        <w:t>;</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）脱产博士后聘期考核合格可出站自主择业，优秀者可申请转入学校正式编制；</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）在职博士后聘期考核合格办理出站。</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符合条件的博士后，聘期内可以上海理工大学为第一单位申报各类人才计划。</w:t>
      </w:r>
    </w:p>
    <w:p w:rsidR="004F7F2E" w:rsidRPr="009D42DA" w:rsidRDefault="004F7F2E" w:rsidP="004F7F2E">
      <w:pPr>
        <w:pStyle w:val="1"/>
        <w:jc w:val="center"/>
        <w:rPr>
          <w:rFonts w:ascii="Arial" w:eastAsia="宋体" w:hAnsi="Arial"/>
          <w:sz w:val="36"/>
          <w:szCs w:val="36"/>
        </w:rPr>
        <w:sectPr w:rsidR="004F7F2E" w:rsidRPr="009D42DA" w:rsidSect="00BA7F47">
          <w:pgSz w:w="11906" w:h="16838"/>
          <w:pgMar w:top="1440" w:right="1800" w:bottom="1440" w:left="1800" w:header="851" w:footer="992" w:gutter="0"/>
          <w:cols w:space="425"/>
          <w:docGrid w:type="lines" w:linePitch="312"/>
        </w:sectPr>
      </w:pPr>
    </w:p>
    <w:p w:rsidR="004F7F2E" w:rsidRPr="009D42DA" w:rsidRDefault="004F7F2E" w:rsidP="009D42DA">
      <w:pPr>
        <w:spacing w:after="240"/>
        <w:jc w:val="center"/>
        <w:rPr>
          <w:rFonts w:ascii="Calibri" w:eastAsia="宋体" w:hAnsi="Calibri" w:cs="Times New Roman"/>
          <w:b/>
          <w:sz w:val="36"/>
          <w:szCs w:val="36"/>
        </w:rPr>
      </w:pPr>
      <w:r w:rsidRPr="009D42DA">
        <w:rPr>
          <w:rFonts w:ascii="Calibri" w:eastAsia="宋体" w:hAnsi="Calibri" w:cs="Times New Roman" w:hint="eastAsia"/>
          <w:b/>
          <w:sz w:val="36"/>
          <w:szCs w:val="36"/>
        </w:rPr>
        <w:lastRenderedPageBreak/>
        <w:t>系统科学沪江博士后管理办法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为促进上海理工大学高水平大学建设，加大高水平及学科吸引和储备高层次创新型青年人才，根据学校的相关政策和管理学院的发展需要，特制订本办法。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一、管理机构和办法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由流动站负责人牵头成立人才引进及考核专家小组，一般为</w:t>
      </w:r>
      <w:r w:rsidRPr="009D42DA">
        <w:rPr>
          <w:rFonts w:ascii="Arial" w:eastAsia="宋体" w:hAnsi="Arial" w:cs="Times New Roman" w:hint="eastAsia"/>
          <w:sz w:val="28"/>
          <w:szCs w:val="28"/>
        </w:rPr>
        <w:t>3-5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学院成立由学院主要领导和高水平及学科团队专家组成的博士后引进评审小组（以下简称“学院评审小组”），一般为</w:t>
      </w: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人；成立由学院主要领导和团队带头人组成的博士后考核小组（以下简称</w:t>
      </w:r>
      <w:r w:rsidRPr="009D42DA">
        <w:rPr>
          <w:rFonts w:ascii="Arial" w:eastAsia="宋体" w:hAnsi="Arial" w:cs="Times New Roman" w:hint="eastAsia"/>
          <w:sz w:val="28"/>
          <w:szCs w:val="28"/>
        </w:rPr>
        <w:t xml:space="preserve"> </w:t>
      </w:r>
      <w:r w:rsidRPr="009D42DA">
        <w:rPr>
          <w:rFonts w:ascii="Arial" w:eastAsia="宋体" w:hAnsi="Arial" w:cs="Times New Roman" w:hint="eastAsia"/>
          <w:sz w:val="28"/>
          <w:szCs w:val="28"/>
        </w:rPr>
        <w:t>“学院考核小组”），一般为</w:t>
      </w:r>
      <w:r w:rsidRPr="009D42DA">
        <w:rPr>
          <w:rFonts w:ascii="Arial" w:eastAsia="宋体" w:hAnsi="Arial" w:cs="Times New Roman" w:hint="eastAsia"/>
          <w:sz w:val="28"/>
          <w:szCs w:val="28"/>
        </w:rPr>
        <w:t xml:space="preserve">5 </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本办法所涉及人员聘期一般为</w:t>
      </w:r>
      <w:r w:rsidRPr="009D42DA">
        <w:rPr>
          <w:rFonts w:ascii="Arial" w:eastAsia="宋体" w:hAnsi="Arial" w:cs="Times New Roman" w:hint="eastAsia"/>
          <w:sz w:val="28"/>
          <w:szCs w:val="28"/>
        </w:rPr>
        <w:t xml:space="preserve"> 3 </w:t>
      </w:r>
      <w:r w:rsidRPr="009D42DA">
        <w:rPr>
          <w:rFonts w:ascii="Arial" w:eastAsia="宋体" w:hAnsi="Arial" w:cs="Times New Roman" w:hint="eastAsia"/>
          <w:sz w:val="28"/>
          <w:szCs w:val="28"/>
        </w:rPr>
        <w:t>年，以工作协议签订时间为准。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本办法所涉及人员必须全职来校工作。</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本办法所涉及人员原则上必须在高水平及学科团队中从事科学研究工作，由团队负责安排具体的科研任务和协议条款，交学院评审小组审批。</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二、准入条件</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申请者一般应为获得博士学位不超过</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年的博士毕业生，年龄不超过</w:t>
      </w:r>
      <w:r w:rsidRPr="009D42DA">
        <w:rPr>
          <w:rFonts w:ascii="Arial" w:eastAsia="宋体" w:hAnsi="Arial" w:cs="Times New Roman" w:hint="eastAsia"/>
          <w:sz w:val="28"/>
          <w:szCs w:val="28"/>
        </w:rPr>
        <w:t xml:space="preserve">35 </w:t>
      </w:r>
      <w:r w:rsidRPr="009D42DA">
        <w:rPr>
          <w:rFonts w:ascii="Arial" w:eastAsia="宋体" w:hAnsi="Arial" w:cs="Times New Roman" w:hint="eastAsia"/>
          <w:sz w:val="28"/>
          <w:szCs w:val="28"/>
        </w:rPr>
        <w:t>周岁，外籍人员需符合外籍人员来华工作相关规定。</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进站博士后要求在近三年中发表</w:t>
      </w:r>
      <w:r w:rsidRPr="009D42DA">
        <w:rPr>
          <w:rFonts w:ascii="Arial" w:eastAsia="宋体" w:hAnsi="Arial" w:cs="Times New Roman" w:hint="eastAsia"/>
          <w:sz w:val="28"/>
          <w:szCs w:val="28"/>
        </w:rPr>
        <w:t xml:space="preserve"> 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篇以上（第一作者见刊）。</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lastRenderedPageBreak/>
        <w:t>3.</w:t>
      </w:r>
      <w:r w:rsidRPr="009D42DA">
        <w:rPr>
          <w:rFonts w:ascii="Arial" w:eastAsia="宋体" w:hAnsi="Arial" w:cs="Times New Roman" w:hint="eastAsia"/>
          <w:sz w:val="28"/>
          <w:szCs w:val="28"/>
        </w:rPr>
        <w:t>引进人员须通过流动站专家小组评议和学院评审小组审核，并获学校批准后方可入职。</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三、任务目标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聘期内须以负责人承担</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项国家自然或社会科学基金项目，并积极申报中国博士后科学基金；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在聘期内以第一作者发表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 xml:space="preserve"> 2</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每年完成</w:t>
      </w:r>
      <w:r w:rsidRPr="009D42DA">
        <w:rPr>
          <w:rFonts w:ascii="Arial" w:eastAsia="宋体" w:hAnsi="Arial" w:cs="Times New Roman" w:hint="eastAsia"/>
          <w:sz w:val="28"/>
          <w:szCs w:val="28"/>
        </w:rPr>
        <w:t>32</w:t>
      </w:r>
      <w:r w:rsidRPr="009D42DA">
        <w:rPr>
          <w:rFonts w:ascii="Arial" w:eastAsia="宋体" w:hAnsi="Arial" w:cs="Times New Roman" w:hint="eastAsia"/>
          <w:sz w:val="28"/>
          <w:szCs w:val="28"/>
        </w:rPr>
        <w:t>学时以上本科教学工作量。</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注：以上所有研究成果须以上海理工大学为第一单位，论文分区标准以学校科技处规定为准。另，出版专著</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本可等同</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完成博士后流动站、学科和合作导师布置的其他任务。</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四、相关待遇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学校提供沪江博士后专项资金每人每年</w:t>
      </w:r>
      <w:r w:rsidRPr="009D42DA">
        <w:rPr>
          <w:rFonts w:ascii="Arial" w:eastAsia="宋体" w:hAnsi="Arial" w:cs="Times New Roman" w:hint="eastAsia"/>
          <w:sz w:val="28"/>
          <w:szCs w:val="28"/>
        </w:rPr>
        <w:t>30</w:t>
      </w:r>
      <w:r w:rsidRPr="009D42DA">
        <w:rPr>
          <w:rFonts w:ascii="Arial" w:eastAsia="宋体" w:hAnsi="Arial" w:cs="Times New Roman" w:hint="eastAsia"/>
          <w:sz w:val="28"/>
          <w:szCs w:val="28"/>
        </w:rPr>
        <w:t>万元，其中</w:t>
      </w:r>
      <w:r w:rsidRPr="009D42DA">
        <w:rPr>
          <w:rFonts w:ascii="Arial" w:eastAsia="宋体" w:hAnsi="Arial" w:cs="Times New Roman" w:hint="eastAsia"/>
          <w:sz w:val="28"/>
          <w:szCs w:val="28"/>
        </w:rPr>
        <w:t>15</w:t>
      </w:r>
      <w:r w:rsidRPr="009D42DA">
        <w:rPr>
          <w:rFonts w:ascii="Arial" w:eastAsia="宋体" w:hAnsi="Arial" w:cs="Times New Roman" w:hint="eastAsia"/>
          <w:sz w:val="28"/>
          <w:szCs w:val="28"/>
        </w:rPr>
        <w:t>万为基础津贴，基础津贴发放原则按管理和考核办法执行；</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万为科研经费；</w:t>
      </w:r>
      <w:r w:rsidRPr="009D42DA">
        <w:rPr>
          <w:rFonts w:ascii="Arial" w:eastAsia="宋体" w:hAnsi="Arial" w:cs="Times New Roman" w:hint="eastAsia"/>
          <w:sz w:val="28"/>
          <w:szCs w:val="28"/>
        </w:rPr>
        <w:t>6</w:t>
      </w:r>
      <w:r w:rsidRPr="009D42DA">
        <w:rPr>
          <w:rFonts w:ascii="Arial" w:eastAsia="宋体" w:hAnsi="Arial" w:cs="Times New Roman" w:hint="eastAsia"/>
          <w:sz w:val="28"/>
          <w:szCs w:val="28"/>
        </w:rPr>
        <w:t>万元为购租房补贴，每月按</w:t>
      </w:r>
      <w:r w:rsidRPr="009D42DA">
        <w:rPr>
          <w:rFonts w:ascii="Arial" w:eastAsia="宋体" w:hAnsi="Arial" w:cs="Times New Roman" w:hint="eastAsia"/>
          <w:sz w:val="28"/>
          <w:szCs w:val="28"/>
        </w:rPr>
        <w:t>0.5</w:t>
      </w:r>
      <w:r w:rsidRPr="009D42DA">
        <w:rPr>
          <w:rFonts w:ascii="Arial" w:eastAsia="宋体" w:hAnsi="Arial" w:cs="Times New Roman" w:hint="eastAsia"/>
          <w:sz w:val="28"/>
          <w:szCs w:val="28"/>
        </w:rPr>
        <w:t>万元发放；学校设立考核奖励金，按每人每年</w:t>
      </w:r>
      <w:r w:rsidRPr="009D42DA">
        <w:rPr>
          <w:rFonts w:ascii="Arial" w:eastAsia="宋体" w:hAnsi="Arial" w:cs="Times New Roman" w:hint="eastAsia"/>
          <w:sz w:val="28"/>
          <w:szCs w:val="28"/>
        </w:rPr>
        <w:t>6</w:t>
      </w:r>
      <w:r w:rsidRPr="009D42DA">
        <w:rPr>
          <w:rFonts w:ascii="Arial" w:eastAsia="宋体" w:hAnsi="Arial" w:cs="Times New Roman" w:hint="eastAsia"/>
          <w:sz w:val="28"/>
          <w:szCs w:val="28"/>
        </w:rPr>
        <w:t>万元统筹，以年度考核结果发放，考核结果合格则全额发放，不合格不发放。具体发放名目以学校规定为准。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博士后人员进站前未进行过职称评定的，进站后可根据学校相关规定认定为中级职称，在站期间可申请高级职称评定，学校根据其科研能力、学术水平、工作成果等，为其评定专业技术职称任职资格。</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五、考核办法</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lastRenderedPageBreak/>
        <w:t>1.</w:t>
      </w:r>
      <w:r w:rsidRPr="009D42DA">
        <w:rPr>
          <w:rFonts w:ascii="Arial" w:eastAsia="宋体" w:hAnsi="Arial" w:cs="Times New Roman" w:hint="eastAsia"/>
          <w:sz w:val="28"/>
          <w:szCs w:val="28"/>
        </w:rPr>
        <w:t>年度考核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）每年博士后本人提交年度成果报告，由团队和学院考核小组考核，考核结果分为合格与不合格，不合格者下一年待遇及经费按照上一年的</w:t>
      </w:r>
      <w:r w:rsidRPr="009D42DA">
        <w:rPr>
          <w:rFonts w:ascii="Arial" w:eastAsia="宋体" w:hAnsi="Arial" w:cs="Times New Roman" w:hint="eastAsia"/>
          <w:sz w:val="28"/>
          <w:szCs w:val="28"/>
        </w:rPr>
        <w:t>50%</w:t>
      </w:r>
      <w:r w:rsidRPr="009D42DA">
        <w:rPr>
          <w:rFonts w:ascii="Arial" w:eastAsia="宋体" w:hAnsi="Arial" w:cs="Times New Roman" w:hint="eastAsia"/>
          <w:sz w:val="28"/>
          <w:szCs w:val="28"/>
        </w:rPr>
        <w:t>发放；</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第一年考核标准以第一作者发表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 xml:space="preserve"> 1</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篇（见刊或录用）：</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第二年考核标准：以第一作者发表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 xml:space="preserve"> 2</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篇（见刊或录用）。</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）连续两年考核结果为不合格，则予以退站处理。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聘期考核</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聘期期满由本人提交聘期考核表，流动站专家小组初评后由学院考核小组考核，考核结果分为合格和不合格。经学院考核后，交学校专家组评议，认定考核结果。</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六、协议与合同</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申请进站的沪江博士后与学校签订劳动合同，一般为</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年；同时，与学院签订工作协议书，约定任务目标、薪资待遇以及考核办法等。</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七、续聘及留任</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符合条件的博士后，聘期内可以上海理工大学为第一单位申报各类人才计划。</w:t>
      </w:r>
    </w:p>
    <w:p w:rsidR="004F7F2E" w:rsidRPr="009D42DA" w:rsidRDefault="004F7F2E" w:rsidP="004F7F2E">
      <w:pPr>
        <w:pStyle w:val="1"/>
        <w:jc w:val="center"/>
        <w:rPr>
          <w:rFonts w:ascii="Arial" w:eastAsia="宋体" w:hAnsi="Arial"/>
          <w:sz w:val="36"/>
          <w:szCs w:val="36"/>
        </w:rPr>
        <w:sectPr w:rsidR="004F7F2E" w:rsidRPr="009D42DA" w:rsidSect="00BA7F47">
          <w:pgSz w:w="11906" w:h="16838"/>
          <w:pgMar w:top="1440" w:right="1800" w:bottom="1440" w:left="1800" w:header="851" w:footer="992" w:gutter="0"/>
          <w:cols w:space="425"/>
          <w:docGrid w:type="lines" w:linePitch="312"/>
        </w:sectPr>
      </w:pPr>
    </w:p>
    <w:p w:rsidR="004F7F2E" w:rsidRPr="009D42DA" w:rsidRDefault="004F7F2E" w:rsidP="009D42DA">
      <w:pPr>
        <w:spacing w:after="240"/>
        <w:jc w:val="center"/>
        <w:rPr>
          <w:rFonts w:ascii="Calibri" w:eastAsia="宋体" w:hAnsi="Calibri" w:cs="Times New Roman"/>
          <w:b/>
          <w:sz w:val="36"/>
          <w:szCs w:val="36"/>
        </w:rPr>
      </w:pPr>
      <w:r w:rsidRPr="009D42DA">
        <w:rPr>
          <w:rFonts w:ascii="Calibri" w:eastAsia="宋体" w:hAnsi="Calibri" w:cs="Times New Roman" w:hint="eastAsia"/>
          <w:b/>
          <w:sz w:val="36"/>
          <w:szCs w:val="36"/>
        </w:rPr>
        <w:lastRenderedPageBreak/>
        <w:t>系统科学师资、科研、在职博士后管理办法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为促进系统科学博士后流动站发展，根据学校的相关政策和管理学院的发展需要，特制订本办法。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一、管理机构和办法</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由流动站负责人牵头成立人才引进及考核专家小组，一般为</w:t>
      </w:r>
      <w:r w:rsidRPr="009D42DA">
        <w:rPr>
          <w:rFonts w:ascii="Arial" w:eastAsia="宋体" w:hAnsi="Arial" w:cs="Times New Roman" w:hint="eastAsia"/>
          <w:sz w:val="28"/>
          <w:szCs w:val="28"/>
        </w:rPr>
        <w:t>3-5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学院成立由流动站、学院主要领导和各相关学科负责人组成的博士后引进评审小组（以下简称“学院评审小组”）及考核小组（以下简称</w:t>
      </w:r>
      <w:r w:rsidRPr="009D42DA">
        <w:rPr>
          <w:rFonts w:ascii="Arial" w:eastAsia="宋体" w:hAnsi="Arial" w:cs="Times New Roman" w:hint="eastAsia"/>
          <w:sz w:val="28"/>
          <w:szCs w:val="28"/>
        </w:rPr>
        <w:t xml:space="preserve"> </w:t>
      </w:r>
      <w:r w:rsidRPr="009D42DA">
        <w:rPr>
          <w:rFonts w:ascii="Arial" w:eastAsia="宋体" w:hAnsi="Arial" w:cs="Times New Roman" w:hint="eastAsia"/>
          <w:sz w:val="28"/>
          <w:szCs w:val="28"/>
        </w:rPr>
        <w:t>“学院考核小组”），一般为</w:t>
      </w:r>
      <w:r w:rsidRPr="009D42DA">
        <w:rPr>
          <w:rFonts w:ascii="Arial" w:eastAsia="宋体" w:hAnsi="Arial" w:cs="Times New Roman" w:hint="eastAsia"/>
          <w:sz w:val="28"/>
          <w:szCs w:val="28"/>
        </w:rPr>
        <w:t>5</w:t>
      </w:r>
      <w:r w:rsidRPr="009D42DA">
        <w:rPr>
          <w:rFonts w:ascii="Arial" w:eastAsia="宋体" w:hAnsi="Arial" w:cs="Times New Roman" w:hint="eastAsia"/>
          <w:sz w:val="28"/>
          <w:szCs w:val="28"/>
        </w:rPr>
        <w:t>人。</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本办法所涉及人员聘期为</w:t>
      </w:r>
      <w:r w:rsidRPr="009D42DA">
        <w:rPr>
          <w:rFonts w:ascii="Arial" w:eastAsia="宋体" w:hAnsi="Arial" w:cs="Times New Roman" w:hint="eastAsia"/>
          <w:sz w:val="28"/>
          <w:szCs w:val="28"/>
        </w:rPr>
        <w:t xml:space="preserve"> 2</w:t>
      </w:r>
      <w:r w:rsidRPr="009D42DA">
        <w:rPr>
          <w:rFonts w:ascii="Arial" w:eastAsia="宋体" w:hAnsi="Arial" w:cs="Times New Roman" w:hint="eastAsia"/>
          <w:sz w:val="28"/>
          <w:szCs w:val="28"/>
        </w:rPr>
        <w:t>年，以工作协议签订时间为准。</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本办法所涉及人员必须全职来校工作。</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二、准入条件</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申请者一般应为获得博士学位不超过</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年的博士毕业生，年龄不超过</w:t>
      </w:r>
      <w:r w:rsidRPr="009D42DA">
        <w:rPr>
          <w:rFonts w:ascii="Arial" w:eastAsia="宋体" w:hAnsi="Arial" w:cs="Times New Roman" w:hint="eastAsia"/>
          <w:sz w:val="28"/>
          <w:szCs w:val="28"/>
        </w:rPr>
        <w:t xml:space="preserve">35 </w:t>
      </w:r>
      <w:r w:rsidRPr="009D42DA">
        <w:rPr>
          <w:rFonts w:ascii="Arial" w:eastAsia="宋体" w:hAnsi="Arial" w:cs="Times New Roman" w:hint="eastAsia"/>
          <w:sz w:val="28"/>
          <w:szCs w:val="28"/>
        </w:rPr>
        <w:t>周岁，外籍人员需满足国际交流处相关规定，不得从事在职博士后。</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师资博士后要求：</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进站师资博士后要求在近三年中发表</w:t>
      </w:r>
      <w:r w:rsidRPr="009D42DA">
        <w:rPr>
          <w:rFonts w:ascii="Arial" w:eastAsia="宋体" w:hAnsi="Arial" w:cs="Times New Roman" w:hint="eastAsia"/>
          <w:sz w:val="28"/>
          <w:szCs w:val="28"/>
        </w:rPr>
        <w:t xml:space="preserve"> 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篇以上（第一作者见刊）。</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师资博士后必须通过流动站专家小组评议和学院评审小组审核，并获学校批准后方可准入。</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三、任务目标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师资博士后：主持省部级项目</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项，发表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篇</w:t>
      </w:r>
      <w:r w:rsidRPr="009D42DA">
        <w:rPr>
          <w:rFonts w:ascii="Arial" w:eastAsia="宋体" w:hAnsi="Arial" w:cs="Times New Roman" w:hint="eastAsia"/>
          <w:sz w:val="28"/>
          <w:szCs w:val="28"/>
        </w:rPr>
        <w:lastRenderedPageBreak/>
        <w:t>（至少见刊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篇），每年承担本科教学课程，授课达</w:t>
      </w:r>
      <w:r w:rsidRPr="009D42DA">
        <w:rPr>
          <w:rFonts w:ascii="Arial" w:eastAsia="宋体" w:hAnsi="Arial" w:cs="Times New Roman" w:hint="eastAsia"/>
          <w:sz w:val="28"/>
          <w:szCs w:val="28"/>
        </w:rPr>
        <w:t>32</w:t>
      </w:r>
      <w:r w:rsidRPr="009D42DA">
        <w:rPr>
          <w:rFonts w:ascii="Arial" w:eastAsia="宋体" w:hAnsi="Arial" w:cs="Times New Roman" w:hint="eastAsia"/>
          <w:sz w:val="28"/>
          <w:szCs w:val="28"/>
        </w:rPr>
        <w:t>学时以上。聘期内积极申报中国博士后科学基金；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科研博士后：发表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篇）。聘期内积极申报中国博士后科学基金。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在职博士后：发表</w:t>
      </w:r>
      <w:r w:rsidRPr="009D42DA">
        <w:rPr>
          <w:rFonts w:ascii="Arial" w:eastAsia="宋体" w:hAnsi="Arial" w:cs="Times New Roman" w:hint="eastAsia"/>
          <w:sz w:val="28"/>
          <w:szCs w:val="28"/>
        </w:rPr>
        <w:t>SCI /SSCI</w:t>
      </w:r>
      <w:r w:rsidRPr="009D42DA">
        <w:rPr>
          <w:rFonts w:ascii="Arial" w:eastAsia="宋体" w:hAnsi="Arial" w:cs="Times New Roman" w:hint="eastAsia"/>
          <w:sz w:val="28"/>
          <w:szCs w:val="28"/>
        </w:rPr>
        <w:t>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篇及校定</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篇（至少见刊</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篇）。聘期内积极申报中国博士后科学基金。</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注：以上所有研究成果必须以上海理工大学为第一单位，论文分区标准以学校科技处规定为准。出版专著</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本可等同</w:t>
      </w:r>
      <w:r w:rsidRPr="009D42DA">
        <w:rPr>
          <w:rFonts w:ascii="Arial" w:eastAsia="宋体" w:hAnsi="Arial" w:cs="Times New Roman" w:hint="eastAsia"/>
          <w:sz w:val="28"/>
          <w:szCs w:val="28"/>
        </w:rPr>
        <w:t>A</w:t>
      </w:r>
      <w:r w:rsidRPr="009D42DA">
        <w:rPr>
          <w:rFonts w:ascii="Arial" w:eastAsia="宋体" w:hAnsi="Arial" w:cs="Times New Roman" w:hint="eastAsia"/>
          <w:sz w:val="28"/>
          <w:szCs w:val="28"/>
        </w:rPr>
        <w:t>类论文</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篇。</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4.</w:t>
      </w:r>
      <w:r w:rsidRPr="009D42DA">
        <w:rPr>
          <w:rFonts w:ascii="Arial" w:eastAsia="宋体" w:hAnsi="Arial" w:cs="Times New Roman" w:hint="eastAsia"/>
          <w:sz w:val="28"/>
          <w:szCs w:val="28"/>
        </w:rPr>
        <w:t>完成博士后流动站、学院和合作导师布置的其他任务。</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四、相关待遇及经费</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师资博士后、科研博士后、在职博士后：按照学校规定发放。</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博士后人员进站前未进行过职称评定的，进站后可根据学校相关规定认定为中级职称，在站期间可申请高级职称评定，学校根据其科研能力、学术水平、工作成果等，为其评定专业技术职称任职资格。</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博士后进站前进行过职称评定的，进站后由校人事部门认定。</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五、考核办法</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开题报告：进站后</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个月内提交。</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中期考核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）师资博士后：进站</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年博士后本人提交中期成果报告，由流动站会同学院考核小组考核；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）科研博士后：进站</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年博士后本人提交中期成果报告，由流动站会同学院考核小组考核；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lastRenderedPageBreak/>
        <w:t>（</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）在职博士后：进站</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年博士后本人提交中期成果报告，由流动站会同学院考核小组考核。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出站考核</w:t>
      </w:r>
      <w:r w:rsidRPr="009D42DA">
        <w:rPr>
          <w:rFonts w:ascii="Arial" w:eastAsia="宋体" w:hAnsi="Arial" w:cs="Times New Roman" w:hint="eastAsia"/>
          <w:sz w:val="28"/>
          <w:szCs w:val="28"/>
        </w:rPr>
        <w:t xml:space="preserve"> </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）师资博士后：聘期期满由本人提交聘期出站成果报告，由流动站会同学院、学校考核小组进行答辩考核；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）科研博士后：聘期期满由本人提交聘期出站成果报告，由流动站会同学校进行答辩考核；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）在职博士后：聘期期满由本人提交聘期出站成果报告，由流动站会同学校进行答辩考核。</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考核结果分为特优、优秀、合格、不合格。经学院审定后，报学校办理出站手续。</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六、协议与合同</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博士后进站需签订相关协议及工作任务书。</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七、留任及出站</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1</w:t>
      </w:r>
      <w:r w:rsidRPr="009D42DA">
        <w:rPr>
          <w:rFonts w:ascii="Arial" w:eastAsia="宋体" w:hAnsi="Arial" w:cs="Times New Roman" w:hint="eastAsia"/>
          <w:sz w:val="28"/>
          <w:szCs w:val="28"/>
        </w:rPr>
        <w:t>）师资博士后聘期考核为</w:t>
      </w:r>
      <w:r w:rsidR="00700D73">
        <w:rPr>
          <w:rFonts w:ascii="Arial" w:eastAsia="宋体" w:hAnsi="Arial" w:cs="Times New Roman" w:hint="eastAsia"/>
          <w:sz w:val="28"/>
          <w:szCs w:val="28"/>
        </w:rPr>
        <w:t>合格</w:t>
      </w:r>
      <w:bookmarkStart w:id="0" w:name="_GoBack"/>
      <w:bookmarkEnd w:id="0"/>
      <w:r w:rsidRPr="009D42DA">
        <w:rPr>
          <w:rFonts w:ascii="Arial" w:eastAsia="宋体" w:hAnsi="Arial" w:cs="Times New Roman" w:hint="eastAsia"/>
          <w:sz w:val="28"/>
          <w:szCs w:val="28"/>
        </w:rPr>
        <w:t>者可申请转入学校正式编制或自主择业</w:t>
      </w:r>
      <w:r w:rsidRPr="009D42DA">
        <w:rPr>
          <w:rFonts w:ascii="Arial" w:eastAsia="宋体" w:hAnsi="Arial" w:cs="Times New Roman" w:hint="eastAsia"/>
          <w:sz w:val="28"/>
          <w:szCs w:val="28"/>
        </w:rPr>
        <w:t>;</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2</w:t>
      </w:r>
      <w:r w:rsidRPr="009D42DA">
        <w:rPr>
          <w:rFonts w:ascii="Arial" w:eastAsia="宋体" w:hAnsi="Arial" w:cs="Times New Roman" w:hint="eastAsia"/>
          <w:sz w:val="28"/>
          <w:szCs w:val="28"/>
        </w:rPr>
        <w:t>）脱产博士后聘期考核合格可出站自主择业，优秀者可申请转入学校正式编制；</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w:t>
      </w:r>
      <w:r w:rsidRPr="009D42DA">
        <w:rPr>
          <w:rFonts w:ascii="Arial" w:eastAsia="宋体" w:hAnsi="Arial" w:cs="Times New Roman" w:hint="eastAsia"/>
          <w:sz w:val="28"/>
          <w:szCs w:val="28"/>
        </w:rPr>
        <w:t>3</w:t>
      </w:r>
      <w:r w:rsidRPr="009D42DA">
        <w:rPr>
          <w:rFonts w:ascii="Arial" w:eastAsia="宋体" w:hAnsi="Arial" w:cs="Times New Roman" w:hint="eastAsia"/>
          <w:sz w:val="28"/>
          <w:szCs w:val="28"/>
        </w:rPr>
        <w:t>）在职博士后聘期考核合格办理出站。</w:t>
      </w:r>
    </w:p>
    <w:p w:rsidR="004F7F2E" w:rsidRPr="009D42DA" w:rsidRDefault="004F7F2E" w:rsidP="004F7F2E">
      <w:pPr>
        <w:ind w:firstLineChars="200" w:firstLine="560"/>
        <w:rPr>
          <w:rFonts w:ascii="Arial" w:eastAsia="宋体" w:hAnsi="Arial" w:cs="Times New Roman"/>
          <w:sz w:val="28"/>
          <w:szCs w:val="28"/>
        </w:rPr>
      </w:pPr>
      <w:r w:rsidRPr="009D42DA">
        <w:rPr>
          <w:rFonts w:ascii="Arial" w:eastAsia="宋体" w:hAnsi="Arial" w:cs="Times New Roman" w:hint="eastAsia"/>
          <w:sz w:val="28"/>
          <w:szCs w:val="28"/>
        </w:rPr>
        <w:t>符合条件的博士后，聘期内可以上海理工大学为第一单位申报各类人才计划。</w:t>
      </w: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Pr="004F7F2E" w:rsidRDefault="004F7F2E" w:rsidP="004F7F2E">
      <w:pPr>
        <w:ind w:left="480"/>
        <w:jc w:val="right"/>
        <w:rPr>
          <w:rFonts w:ascii="仿宋" w:eastAsia="仿宋" w:hAnsi="仿宋" w:cs="Arial"/>
          <w:kern w:val="0"/>
          <w:sz w:val="30"/>
          <w:szCs w:val="30"/>
        </w:rPr>
      </w:pPr>
    </w:p>
    <w:p w:rsidR="004F7F2E" w:rsidRDefault="004F7F2E" w:rsidP="004F7F2E">
      <w:pPr>
        <w:ind w:left="480"/>
        <w:jc w:val="right"/>
        <w:rPr>
          <w:rFonts w:ascii="Arial" w:eastAsia="宋体" w:hAnsi="Arial" w:cs="Arial"/>
          <w:kern w:val="0"/>
          <w:sz w:val="30"/>
          <w:szCs w:val="30"/>
        </w:rPr>
      </w:pPr>
    </w:p>
    <w:p w:rsidR="004E2A01" w:rsidRDefault="004E2A01"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F7F2E" w:rsidRDefault="004F7F2E" w:rsidP="0017666C">
      <w:pPr>
        <w:jc w:val="left"/>
        <w:rPr>
          <w:rFonts w:ascii="仿宋_GB2312" w:eastAsia="仿宋_GB2312" w:hAnsi="Times New Roman" w:cs="Times New Roman"/>
          <w:sz w:val="28"/>
          <w:szCs w:val="28"/>
        </w:rPr>
      </w:pPr>
    </w:p>
    <w:p w:rsidR="004E2A01" w:rsidRDefault="004E2A01" w:rsidP="0017666C">
      <w:pPr>
        <w:jc w:val="left"/>
        <w:rPr>
          <w:rFonts w:ascii="仿宋_GB2312" w:eastAsia="仿宋_GB2312" w:hAnsi="Times New Roman" w:cs="Times New Roman"/>
          <w:sz w:val="28"/>
          <w:szCs w:val="28"/>
        </w:rPr>
      </w:pPr>
    </w:p>
    <w:p w:rsidR="00CE46EE" w:rsidRDefault="00CE46EE" w:rsidP="0017666C">
      <w:pPr>
        <w:jc w:val="left"/>
        <w:rPr>
          <w:rFonts w:ascii="仿宋_GB2312" w:eastAsia="仿宋_GB2312" w:hAnsi="Times New Roman" w:cs="Times New Roman"/>
          <w:sz w:val="28"/>
          <w:szCs w:val="28"/>
        </w:rPr>
      </w:pPr>
    </w:p>
    <w:p w:rsidR="00CE46EE" w:rsidRPr="009D42DA" w:rsidRDefault="00CE46EE" w:rsidP="0017666C">
      <w:pPr>
        <w:jc w:val="left"/>
        <w:rPr>
          <w:rFonts w:ascii="Arial" w:eastAsia="宋体" w:hAnsi="Arial" w:cs="Arial"/>
          <w:kern w:val="0"/>
          <w:sz w:val="30"/>
          <w:szCs w:val="30"/>
        </w:rPr>
      </w:pPr>
    </w:p>
    <w:p w:rsidR="00C96CE9" w:rsidRPr="009D42DA" w:rsidRDefault="00C96CE9" w:rsidP="002E7DB2">
      <w:pPr>
        <w:ind w:firstLineChars="2250" w:firstLine="6750"/>
        <w:rPr>
          <w:rFonts w:ascii="Arial" w:eastAsia="宋体" w:hAnsi="Arial" w:cs="Arial"/>
          <w:kern w:val="0"/>
          <w:sz w:val="30"/>
          <w:szCs w:val="30"/>
        </w:rPr>
      </w:pPr>
      <w:r w:rsidRPr="009D42DA">
        <w:rPr>
          <w:rFonts w:ascii="Arial" w:eastAsia="宋体" w:hAnsi="Arial" w:cs="Arial" w:hint="eastAsia"/>
          <w:kern w:val="0"/>
          <w:sz w:val="30"/>
          <w:szCs w:val="30"/>
        </w:rPr>
        <w:t>管理学院</w:t>
      </w:r>
    </w:p>
    <w:p w:rsidR="00C96CE9" w:rsidRPr="009D42DA" w:rsidRDefault="00C96CE9" w:rsidP="00AB1935">
      <w:pPr>
        <w:ind w:left="480" w:right="362"/>
        <w:jc w:val="right"/>
        <w:rPr>
          <w:rFonts w:ascii="Arial" w:eastAsia="宋体" w:hAnsi="Arial" w:cs="Arial"/>
          <w:kern w:val="0"/>
          <w:sz w:val="30"/>
          <w:szCs w:val="30"/>
        </w:rPr>
      </w:pPr>
      <w:r w:rsidRPr="009D42DA">
        <w:rPr>
          <w:rFonts w:ascii="Arial" w:eastAsia="宋体" w:hAnsi="Arial" w:cs="Arial" w:hint="eastAsia"/>
          <w:kern w:val="0"/>
          <w:sz w:val="30"/>
          <w:szCs w:val="30"/>
        </w:rPr>
        <w:t>20</w:t>
      </w:r>
      <w:r w:rsidR="00E63551" w:rsidRPr="009D42DA">
        <w:rPr>
          <w:rFonts w:ascii="Arial" w:eastAsia="宋体" w:hAnsi="Arial" w:cs="Arial"/>
          <w:kern w:val="0"/>
          <w:sz w:val="30"/>
          <w:szCs w:val="30"/>
        </w:rPr>
        <w:t>20</w:t>
      </w:r>
      <w:r w:rsidRPr="009D42DA">
        <w:rPr>
          <w:rFonts w:ascii="Arial" w:eastAsia="宋体" w:hAnsi="Arial" w:cs="Arial" w:hint="eastAsia"/>
          <w:kern w:val="0"/>
          <w:sz w:val="30"/>
          <w:szCs w:val="30"/>
        </w:rPr>
        <w:t>年</w:t>
      </w:r>
      <w:r w:rsidR="004F7F2E" w:rsidRPr="009D42DA">
        <w:rPr>
          <w:rFonts w:ascii="Arial" w:eastAsia="宋体" w:hAnsi="Arial" w:cs="Arial"/>
          <w:kern w:val="0"/>
          <w:sz w:val="30"/>
          <w:szCs w:val="30"/>
        </w:rPr>
        <w:t>5</w:t>
      </w:r>
      <w:r w:rsidRPr="009D42DA">
        <w:rPr>
          <w:rFonts w:ascii="Arial" w:eastAsia="宋体" w:hAnsi="Arial" w:cs="Arial" w:hint="eastAsia"/>
          <w:kern w:val="0"/>
          <w:sz w:val="30"/>
          <w:szCs w:val="30"/>
        </w:rPr>
        <w:t>月</w:t>
      </w:r>
      <w:r w:rsidR="004F7F2E" w:rsidRPr="009D42DA">
        <w:rPr>
          <w:rFonts w:ascii="Arial" w:eastAsia="宋体" w:hAnsi="Arial" w:cs="Arial"/>
          <w:kern w:val="0"/>
          <w:sz w:val="30"/>
          <w:szCs w:val="30"/>
        </w:rPr>
        <w:t>13</w:t>
      </w:r>
      <w:r w:rsidRPr="009D42DA">
        <w:rPr>
          <w:rFonts w:ascii="Arial" w:eastAsia="宋体" w:hAnsi="Arial" w:cs="Arial" w:hint="eastAsia"/>
          <w:kern w:val="0"/>
          <w:sz w:val="30"/>
          <w:szCs w:val="30"/>
        </w:rPr>
        <w:t>日</w:t>
      </w:r>
    </w:p>
    <w:p w:rsidR="00953F57" w:rsidRPr="007238CF" w:rsidRDefault="00953F57"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238CF">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4F80"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238CF">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73855"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238CF">
        <w:rPr>
          <w:rFonts w:ascii="仿宋_GB2312" w:eastAsia="仿宋_GB2312" w:hAnsi="Times New Roman" w:cs="Times New Roman" w:hint="eastAsia"/>
          <w:sz w:val="28"/>
          <w:szCs w:val="28"/>
        </w:rPr>
        <w:t>学院办公室</w:t>
      </w:r>
      <w:bookmarkStart w:id="1" w:name="发文日期"/>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sz w:val="28"/>
          <w:szCs w:val="28"/>
        </w:rPr>
        <w:t>20</w:t>
      </w:r>
      <w:r w:rsidR="00E63551" w:rsidRPr="007238CF">
        <w:rPr>
          <w:rFonts w:ascii="仿宋_GB2312" w:eastAsia="仿宋_GB2312" w:hAnsi="Times New Roman" w:cs="Times New Roman"/>
          <w:sz w:val="28"/>
          <w:szCs w:val="28"/>
        </w:rPr>
        <w:t>20</w:t>
      </w:r>
      <w:r w:rsidRPr="007238CF">
        <w:rPr>
          <w:rFonts w:ascii="仿宋_GB2312" w:eastAsia="仿宋_GB2312" w:hAnsi="Times New Roman" w:cs="Times New Roman" w:hint="eastAsia"/>
          <w:sz w:val="28"/>
          <w:szCs w:val="28"/>
        </w:rPr>
        <w:t>年</w:t>
      </w:r>
      <w:r w:rsidR="004F7F2E">
        <w:rPr>
          <w:rFonts w:ascii="仿宋_GB2312" w:eastAsia="仿宋_GB2312" w:hAnsi="Times New Roman" w:cs="Times New Roman"/>
          <w:sz w:val="28"/>
          <w:szCs w:val="28"/>
        </w:rPr>
        <w:t>5</w:t>
      </w:r>
      <w:r w:rsidRPr="007238CF">
        <w:rPr>
          <w:rFonts w:ascii="仿宋_GB2312" w:eastAsia="仿宋_GB2312" w:hAnsi="Times New Roman" w:cs="Times New Roman" w:hint="eastAsia"/>
          <w:sz w:val="28"/>
          <w:szCs w:val="28"/>
        </w:rPr>
        <w:t>月</w:t>
      </w:r>
      <w:r w:rsidR="004F7F2E">
        <w:rPr>
          <w:rFonts w:ascii="仿宋_GB2312" w:eastAsia="仿宋_GB2312" w:hAnsi="Times New Roman" w:cs="Times New Roman"/>
          <w:sz w:val="28"/>
          <w:szCs w:val="28"/>
        </w:rPr>
        <w:t>13</w:t>
      </w:r>
      <w:r w:rsidRPr="007238CF">
        <w:rPr>
          <w:rFonts w:ascii="仿宋_GB2312" w:eastAsia="仿宋_GB2312" w:hAnsi="Times New Roman" w:cs="Times New Roman" w:hint="eastAsia"/>
          <w:sz w:val="28"/>
          <w:szCs w:val="28"/>
        </w:rPr>
        <w:t>日</w:t>
      </w:r>
      <w:bookmarkEnd w:id="1"/>
      <w:r w:rsidRPr="007238CF">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C4" w:rsidRDefault="00A83AC4" w:rsidP="000156AB">
      <w:r>
        <w:separator/>
      </w:r>
    </w:p>
  </w:endnote>
  <w:endnote w:type="continuationSeparator" w:id="0">
    <w:p w:rsidR="00A83AC4" w:rsidRDefault="00A83AC4"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C4" w:rsidRDefault="00A83AC4" w:rsidP="000156AB">
      <w:r>
        <w:separator/>
      </w:r>
    </w:p>
  </w:footnote>
  <w:footnote w:type="continuationSeparator" w:id="0">
    <w:p w:rsidR="00A83AC4" w:rsidRDefault="00A83AC4" w:rsidP="000156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36CE3"/>
    <w:multiLevelType w:val="hybridMultilevel"/>
    <w:tmpl w:val="052E0270"/>
    <w:lvl w:ilvl="0" w:tplc="79E6F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A"/>
    <w:rsid w:val="00001E8F"/>
    <w:rsid w:val="0000229C"/>
    <w:rsid w:val="000156AB"/>
    <w:rsid w:val="000170BF"/>
    <w:rsid w:val="00021695"/>
    <w:rsid w:val="00021A81"/>
    <w:rsid w:val="0003197D"/>
    <w:rsid w:val="00061EF6"/>
    <w:rsid w:val="00093C16"/>
    <w:rsid w:val="000B0839"/>
    <w:rsid w:val="000C79B9"/>
    <w:rsid w:val="000D3175"/>
    <w:rsid w:val="000F7F5A"/>
    <w:rsid w:val="001053E4"/>
    <w:rsid w:val="001173A4"/>
    <w:rsid w:val="001314AF"/>
    <w:rsid w:val="001378C9"/>
    <w:rsid w:val="001609E2"/>
    <w:rsid w:val="001616D6"/>
    <w:rsid w:val="00170851"/>
    <w:rsid w:val="00174899"/>
    <w:rsid w:val="0017506A"/>
    <w:rsid w:val="00175CB8"/>
    <w:rsid w:val="0017666C"/>
    <w:rsid w:val="00193494"/>
    <w:rsid w:val="001A75F6"/>
    <w:rsid w:val="001C550A"/>
    <w:rsid w:val="001D3553"/>
    <w:rsid w:val="001F7403"/>
    <w:rsid w:val="002205D9"/>
    <w:rsid w:val="0023493B"/>
    <w:rsid w:val="00242EFA"/>
    <w:rsid w:val="00244D33"/>
    <w:rsid w:val="00246C6F"/>
    <w:rsid w:val="002615BC"/>
    <w:rsid w:val="00264840"/>
    <w:rsid w:val="00270813"/>
    <w:rsid w:val="00271631"/>
    <w:rsid w:val="00290F9C"/>
    <w:rsid w:val="002A5270"/>
    <w:rsid w:val="002A57D8"/>
    <w:rsid w:val="002B6618"/>
    <w:rsid w:val="002E398D"/>
    <w:rsid w:val="002E7DB2"/>
    <w:rsid w:val="00300FA9"/>
    <w:rsid w:val="00347D90"/>
    <w:rsid w:val="0035466C"/>
    <w:rsid w:val="00371A56"/>
    <w:rsid w:val="003A4138"/>
    <w:rsid w:val="003A575B"/>
    <w:rsid w:val="003B2E68"/>
    <w:rsid w:val="003B69FF"/>
    <w:rsid w:val="003D591C"/>
    <w:rsid w:val="00453DAB"/>
    <w:rsid w:val="0045437F"/>
    <w:rsid w:val="004833E1"/>
    <w:rsid w:val="004A52F8"/>
    <w:rsid w:val="004C3C9E"/>
    <w:rsid w:val="004D5880"/>
    <w:rsid w:val="004D60BF"/>
    <w:rsid w:val="004E04C9"/>
    <w:rsid w:val="004E2A01"/>
    <w:rsid w:val="004E3A5A"/>
    <w:rsid w:val="004F7F2E"/>
    <w:rsid w:val="0051396C"/>
    <w:rsid w:val="0052456F"/>
    <w:rsid w:val="00532C8D"/>
    <w:rsid w:val="0054300A"/>
    <w:rsid w:val="005722C3"/>
    <w:rsid w:val="00582226"/>
    <w:rsid w:val="00582861"/>
    <w:rsid w:val="00595FCB"/>
    <w:rsid w:val="0059618F"/>
    <w:rsid w:val="005B085C"/>
    <w:rsid w:val="005B26BE"/>
    <w:rsid w:val="005C5945"/>
    <w:rsid w:val="005C6732"/>
    <w:rsid w:val="006005B2"/>
    <w:rsid w:val="006152A0"/>
    <w:rsid w:val="00616EA9"/>
    <w:rsid w:val="006249A3"/>
    <w:rsid w:val="00645CD1"/>
    <w:rsid w:val="00650F80"/>
    <w:rsid w:val="0065634D"/>
    <w:rsid w:val="006677A0"/>
    <w:rsid w:val="00681FED"/>
    <w:rsid w:val="006A6D3F"/>
    <w:rsid w:val="006B0CDF"/>
    <w:rsid w:val="006C280F"/>
    <w:rsid w:val="006C6F23"/>
    <w:rsid w:val="006D1438"/>
    <w:rsid w:val="00700D73"/>
    <w:rsid w:val="00710005"/>
    <w:rsid w:val="007238CF"/>
    <w:rsid w:val="00730DAE"/>
    <w:rsid w:val="00737658"/>
    <w:rsid w:val="00745A98"/>
    <w:rsid w:val="00767708"/>
    <w:rsid w:val="007716D4"/>
    <w:rsid w:val="007A0BE1"/>
    <w:rsid w:val="007A7DC6"/>
    <w:rsid w:val="007B053B"/>
    <w:rsid w:val="007B0E61"/>
    <w:rsid w:val="007B77B6"/>
    <w:rsid w:val="007C39A0"/>
    <w:rsid w:val="007C59CA"/>
    <w:rsid w:val="007C60A7"/>
    <w:rsid w:val="007D2176"/>
    <w:rsid w:val="007E12D6"/>
    <w:rsid w:val="00817B74"/>
    <w:rsid w:val="0084320E"/>
    <w:rsid w:val="0084524D"/>
    <w:rsid w:val="008627BF"/>
    <w:rsid w:val="008647F1"/>
    <w:rsid w:val="00865DD9"/>
    <w:rsid w:val="00880FB6"/>
    <w:rsid w:val="00894979"/>
    <w:rsid w:val="008A4436"/>
    <w:rsid w:val="008B08E3"/>
    <w:rsid w:val="008B12E6"/>
    <w:rsid w:val="008B2746"/>
    <w:rsid w:val="008B3E20"/>
    <w:rsid w:val="008C7CFA"/>
    <w:rsid w:val="008F74E9"/>
    <w:rsid w:val="00920595"/>
    <w:rsid w:val="00951F35"/>
    <w:rsid w:val="00953F57"/>
    <w:rsid w:val="00960459"/>
    <w:rsid w:val="009767A5"/>
    <w:rsid w:val="00984D06"/>
    <w:rsid w:val="009A5482"/>
    <w:rsid w:val="009C2B89"/>
    <w:rsid w:val="009C415F"/>
    <w:rsid w:val="009D42DA"/>
    <w:rsid w:val="00A22401"/>
    <w:rsid w:val="00A44655"/>
    <w:rsid w:val="00A55480"/>
    <w:rsid w:val="00A55740"/>
    <w:rsid w:val="00A650D7"/>
    <w:rsid w:val="00A7772F"/>
    <w:rsid w:val="00A82FA1"/>
    <w:rsid w:val="00A83AC4"/>
    <w:rsid w:val="00A92016"/>
    <w:rsid w:val="00AA714E"/>
    <w:rsid w:val="00AB1935"/>
    <w:rsid w:val="00AB23BA"/>
    <w:rsid w:val="00AC001E"/>
    <w:rsid w:val="00AC291C"/>
    <w:rsid w:val="00AC7E38"/>
    <w:rsid w:val="00AE4BE6"/>
    <w:rsid w:val="00AE690C"/>
    <w:rsid w:val="00AF03AB"/>
    <w:rsid w:val="00AF0409"/>
    <w:rsid w:val="00AF1438"/>
    <w:rsid w:val="00AF1BAD"/>
    <w:rsid w:val="00B11359"/>
    <w:rsid w:val="00B26FAE"/>
    <w:rsid w:val="00B346AD"/>
    <w:rsid w:val="00B42CED"/>
    <w:rsid w:val="00B539C4"/>
    <w:rsid w:val="00B57A38"/>
    <w:rsid w:val="00B66796"/>
    <w:rsid w:val="00B66D4B"/>
    <w:rsid w:val="00B765CB"/>
    <w:rsid w:val="00BA7F47"/>
    <w:rsid w:val="00BB0BC9"/>
    <w:rsid w:val="00BB30AC"/>
    <w:rsid w:val="00BB5F62"/>
    <w:rsid w:val="00BD7C6E"/>
    <w:rsid w:val="00BE478E"/>
    <w:rsid w:val="00BF3A1C"/>
    <w:rsid w:val="00C14D5E"/>
    <w:rsid w:val="00C224F7"/>
    <w:rsid w:val="00C37198"/>
    <w:rsid w:val="00C511FB"/>
    <w:rsid w:val="00C74883"/>
    <w:rsid w:val="00C75C3C"/>
    <w:rsid w:val="00C84618"/>
    <w:rsid w:val="00C96CE9"/>
    <w:rsid w:val="00CB0364"/>
    <w:rsid w:val="00CE2155"/>
    <w:rsid w:val="00CE46EE"/>
    <w:rsid w:val="00CF0439"/>
    <w:rsid w:val="00D04F48"/>
    <w:rsid w:val="00D05003"/>
    <w:rsid w:val="00D12C2F"/>
    <w:rsid w:val="00D25726"/>
    <w:rsid w:val="00D33467"/>
    <w:rsid w:val="00D41CB9"/>
    <w:rsid w:val="00D60311"/>
    <w:rsid w:val="00D6364C"/>
    <w:rsid w:val="00D673FC"/>
    <w:rsid w:val="00D8748D"/>
    <w:rsid w:val="00D931CB"/>
    <w:rsid w:val="00DB5E8C"/>
    <w:rsid w:val="00DC09D9"/>
    <w:rsid w:val="00DD44A5"/>
    <w:rsid w:val="00DD5479"/>
    <w:rsid w:val="00DE07E5"/>
    <w:rsid w:val="00DE76DB"/>
    <w:rsid w:val="00DE7E5B"/>
    <w:rsid w:val="00DE7FCC"/>
    <w:rsid w:val="00E122F6"/>
    <w:rsid w:val="00E30F13"/>
    <w:rsid w:val="00E32E2C"/>
    <w:rsid w:val="00E45BD0"/>
    <w:rsid w:val="00E54379"/>
    <w:rsid w:val="00E611A6"/>
    <w:rsid w:val="00E63551"/>
    <w:rsid w:val="00E6512A"/>
    <w:rsid w:val="00E7403B"/>
    <w:rsid w:val="00EA7C66"/>
    <w:rsid w:val="00EC0E64"/>
    <w:rsid w:val="00ED7873"/>
    <w:rsid w:val="00EF5E20"/>
    <w:rsid w:val="00EF6E74"/>
    <w:rsid w:val="00F01ADB"/>
    <w:rsid w:val="00F131ED"/>
    <w:rsid w:val="00F3031C"/>
    <w:rsid w:val="00F36BE6"/>
    <w:rsid w:val="00F450A0"/>
    <w:rsid w:val="00F516AB"/>
    <w:rsid w:val="00F67030"/>
    <w:rsid w:val="00F753FD"/>
    <w:rsid w:val="00F828DA"/>
    <w:rsid w:val="00FB11B4"/>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45A1F0-266E-4073-A38F-97CBAAA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F7F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35466C"/>
    <w:rPr>
      <w:sz w:val="18"/>
      <w:szCs w:val="18"/>
    </w:rPr>
  </w:style>
  <w:style w:type="character" w:customStyle="1" w:styleId="ac">
    <w:name w:val="批注框文本 字符"/>
    <w:basedOn w:val="a0"/>
    <w:link w:val="ab"/>
    <w:uiPriority w:val="99"/>
    <w:semiHidden/>
    <w:rsid w:val="0035466C"/>
    <w:rPr>
      <w:sz w:val="18"/>
      <w:szCs w:val="18"/>
    </w:rPr>
  </w:style>
  <w:style w:type="character" w:customStyle="1" w:styleId="10">
    <w:name w:val="标题 1 字符"/>
    <w:basedOn w:val="a0"/>
    <w:link w:val="1"/>
    <w:uiPriority w:val="9"/>
    <w:rsid w:val="004F7F2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 w:id="2007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D4EC-B744-47F1-98D4-4281302F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路平</cp:lastModifiedBy>
  <cp:revision>147</cp:revision>
  <cp:lastPrinted>2020-04-28T03:09:00Z</cp:lastPrinted>
  <dcterms:created xsi:type="dcterms:W3CDTF">2013-12-04T00:30:00Z</dcterms:created>
  <dcterms:modified xsi:type="dcterms:W3CDTF">2020-06-03T11:02:00Z</dcterms:modified>
</cp:coreProperties>
</file>