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4B" w:rsidRDefault="005D2641">
      <w:pPr>
        <w:pStyle w:val="4"/>
        <w:jc w:val="center"/>
        <w:rPr>
          <w:rFonts w:ascii="方正小标宋简体" w:eastAsia="方正小标宋简体" w:hAnsiTheme="majorEastAsia" w:cstheme="majorEastAsia"/>
          <w:b w:val="0"/>
          <w:sz w:val="32"/>
          <w:szCs w:val="32"/>
        </w:rPr>
      </w:pPr>
      <w:bookmarkStart w:id="0" w:name="OLE_LINK1"/>
      <w:r>
        <w:rPr>
          <w:rFonts w:ascii="方正小标宋简体" w:eastAsia="方正小标宋简体" w:hAnsiTheme="majorEastAsia" w:cstheme="majorEastAsia" w:hint="eastAsia"/>
          <w:b w:val="0"/>
          <w:sz w:val="32"/>
          <w:szCs w:val="32"/>
        </w:rPr>
        <w:t>管理学院“全日制硕士研究生第二阶段学业奖学金”评定办法</w:t>
      </w:r>
    </w:p>
    <w:p w:rsidR="00480F4B" w:rsidRDefault="00480F4B">
      <w:pPr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根据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《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关于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级全日制硕士（博士）研究生第二阶段学业奖学金评选工作的通知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》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和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《上海理工大学全日制硕士研究生奖助方案实施办法》（上理工〔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〕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89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号）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,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及学院学科发展需要，制订管理学院全日制硕士研究生第二阶段学业奖学金评选办法：</w:t>
      </w:r>
    </w:p>
    <w:p w:rsidR="00480F4B" w:rsidRDefault="00480F4B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</w:p>
    <w:p w:rsidR="00480F4B" w:rsidRDefault="005D2641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评定范围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、奖助方案面向录取类型为全日制“非定向就业”的硕士研究生（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MBA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MPA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MEM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、人事档案及人事关系不转入上海理工大学的除外），并具有中华人民共和国国籍。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、学校按照一定的比例和标准，设置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个等级的硕士研究生学业奖学金，见表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。</w:t>
      </w:r>
    </w:p>
    <w:p w:rsidR="00480F4B" w:rsidRDefault="005D2641">
      <w:pPr>
        <w:spacing w:line="440" w:lineRule="exact"/>
        <w:ind w:firstLineChars="850" w:firstLine="204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表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 xml:space="preserve">1 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全日制硕士研究生学业奖学金资助标准</w:t>
      </w:r>
    </w:p>
    <w:tbl>
      <w:tblPr>
        <w:tblW w:w="39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4"/>
        <w:gridCol w:w="2832"/>
        <w:gridCol w:w="2825"/>
      </w:tblGrid>
      <w:tr w:rsidR="00480F4B">
        <w:trPr>
          <w:trHeight w:val="35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等级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资助比例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金额（元</w:t>
            </w:r>
            <w:r>
              <w:rPr>
                <w:rFonts w:ascii="仿宋" w:eastAsia="仿宋" w:hAnsi="仿宋" w:cs="Times New Roman"/>
                <w:sz w:val="24"/>
              </w:rPr>
              <w:t>/</w:t>
            </w:r>
            <w:r>
              <w:rPr>
                <w:rFonts w:ascii="仿宋" w:eastAsia="仿宋" w:hAnsi="仿宋" w:cs="Times New Roman"/>
                <w:sz w:val="24"/>
              </w:rPr>
              <w:t>年</w:t>
            </w:r>
            <w:r>
              <w:rPr>
                <w:rFonts w:ascii="仿宋" w:eastAsia="仿宋" w:hAnsi="仿宋" w:cs="Times New Roman"/>
                <w:sz w:val="24"/>
              </w:rPr>
              <w:t>/</w:t>
            </w:r>
            <w:r>
              <w:rPr>
                <w:rFonts w:ascii="仿宋" w:eastAsia="仿宋" w:hAnsi="仿宋" w:cs="Times New Roman"/>
                <w:sz w:val="24"/>
              </w:rPr>
              <w:t>生）</w:t>
            </w:r>
          </w:p>
        </w:tc>
      </w:tr>
      <w:tr w:rsidR="00480F4B">
        <w:trPr>
          <w:trHeight w:val="342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一等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5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  <w:tr w:rsidR="00480F4B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二等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35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8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  <w:tr w:rsidR="00480F4B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三等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50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</w:tbl>
    <w:p w:rsidR="00480F4B" w:rsidRDefault="00480F4B">
      <w:p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</w:p>
    <w:p w:rsidR="00480F4B" w:rsidRDefault="005D2641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评定标准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、硕士研究生学业奖学金基本申请条件：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）热爱社会主义祖国，拥护中国共产党的领导；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）遵守宪法和法律，遵守高等学校规章制度；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）诚实守信，品学兼优；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）积极参与科学研究和社会实践。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、第二阶段学业奖学金等级主要根据在校学习成绩、科学研究成果、学术科技竞赛获奖以及思想政治表现等方面综合评定。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</w:t>
      </w:r>
      <w:bookmarkStart w:id="1" w:name="_GoBack"/>
      <w:bookmarkEnd w:id="1"/>
      <w:r>
        <w:rPr>
          <w:rFonts w:ascii="仿宋" w:eastAsia="仿宋" w:hAnsi="仿宋" w:cs="仿宋" w:hint="eastAsia"/>
          <w:color w:val="333333"/>
          <w:kern w:val="0"/>
          <w:sz w:val="24"/>
        </w:rPr>
        <w:t>如出现课程不及格（以研究生院出具的成绩单为准），不得申请奖学金。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lastRenderedPageBreak/>
        <w:t>4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、申报奖学金的需提交申请，并在规定时间内递交申报材料。未申请者不得评定奖学金，作为无奖学金处理。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、各部分评定标准所占权重：课程学习成绩（占总分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20%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）、科学研究成果（论文、专利等）及学术科技竞赛获奖（占总分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60%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）、政治思想表现及参加集体活动情况（占总分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10%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）、导师对研究生的科研工作情况评价（占总分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10%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、各项评定标准参照《管理学院研究生研究成果及科技竞赛获奖评定细则（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月修订）》、《管理学院研究生非学术类获奖评定细则（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月修订）》、《管理学院研究生各项荣誉情况、在校综合表现评定细则（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月修订）》、《管理学院研究生各类评定中学习成绩绩点计算说明》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详见“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管理学院网站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-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学生工作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-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学生事务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-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下载中心”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。思想政治表现由辅导员给出分值；导师对研究生的科研工作情况评价由导师给出分值，并且对学术不端行为具有一票否决权。</w:t>
      </w:r>
    </w:p>
    <w:p w:rsidR="00480F4B" w:rsidRDefault="00480F4B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</w:p>
    <w:p w:rsidR="00480F4B" w:rsidRDefault="005D2641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材料申报及评审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1.</w:t>
      </w: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申报材料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）《管理学院“研究生第二阶段奖学金”申请表》，《申请表》中“导师对研究生科研工作情况的评价”由导师给定，并由导师本人签字确认；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）研究生课程学习成绩单、发表论文的期刊复印件及原件、获奖证书复印件及原件、专利证书复印件及原件等相关佐证材料。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2.</w:t>
      </w: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材料评审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申报材料收齐后，由学院统一安排审核工作。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）课程学习成绩：由研究生教务办公室审核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）科研论文：由研究生教务办公室审核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）专利：由研究生辅导员办公室审核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</w:rPr>
        <w:t>学术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竞赛获奖：由研究生辅导员办公室审核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）政治思想表现及集体活动情况：由研究生辅导员办公室审核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3.</w:t>
      </w: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材料终审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由“管理学院研究生第二阶段奖学金评审委员会”对申报材料进行最终评审，并确定最终奖学金等级。</w:t>
      </w:r>
    </w:p>
    <w:p w:rsidR="00480F4B" w:rsidRDefault="005D2641">
      <w:pPr>
        <w:spacing w:line="440" w:lineRule="exact"/>
        <w:ind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评选结果公示</w:t>
      </w:r>
    </w:p>
    <w:p w:rsidR="00480F4B" w:rsidRDefault="005D2641">
      <w:pPr>
        <w:spacing w:line="440" w:lineRule="exact"/>
        <w:ind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评选结果将在“管理学院网站”上进行公示。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lastRenderedPageBreak/>
        <w:t>5.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评选结果上报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公示结束无异议，学院将评选结果上报学校。</w:t>
      </w:r>
      <w:bookmarkEnd w:id="0"/>
    </w:p>
    <w:p w:rsidR="00480F4B" w:rsidRDefault="00480F4B"/>
    <w:sectPr w:rsidR="00480F4B">
      <w:pgSz w:w="11906" w:h="16838"/>
      <w:pgMar w:top="209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41" w:rsidRDefault="005D2641" w:rsidP="009B446F">
      <w:r>
        <w:separator/>
      </w:r>
    </w:p>
  </w:endnote>
  <w:endnote w:type="continuationSeparator" w:id="0">
    <w:p w:rsidR="005D2641" w:rsidRDefault="005D2641" w:rsidP="009B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41" w:rsidRDefault="005D2641" w:rsidP="009B446F">
      <w:r>
        <w:separator/>
      </w:r>
    </w:p>
  </w:footnote>
  <w:footnote w:type="continuationSeparator" w:id="0">
    <w:p w:rsidR="005D2641" w:rsidRDefault="005D2641" w:rsidP="009B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69255"/>
    <w:multiLevelType w:val="singleLevel"/>
    <w:tmpl w:val="6CB692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1382A"/>
    <w:rsid w:val="00480F4B"/>
    <w:rsid w:val="005D2641"/>
    <w:rsid w:val="009B446F"/>
    <w:rsid w:val="0871382A"/>
    <w:rsid w:val="2DF14675"/>
    <w:rsid w:val="37E01125"/>
    <w:rsid w:val="54930F8D"/>
    <w:rsid w:val="687059A2"/>
    <w:rsid w:val="751C1388"/>
    <w:rsid w:val="7732579E"/>
    <w:rsid w:val="789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AB91E6-3E20-46E3-A0B6-70F8876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446F"/>
    <w:rPr>
      <w:kern w:val="2"/>
      <w:sz w:val="18"/>
      <w:szCs w:val="18"/>
    </w:rPr>
  </w:style>
  <w:style w:type="paragraph" w:styleId="a5">
    <w:name w:val="footer"/>
    <w:basedOn w:val="a"/>
    <w:link w:val="a6"/>
    <w:rsid w:val="009B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44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chenpeng</cp:lastModifiedBy>
  <cp:revision>2</cp:revision>
  <dcterms:created xsi:type="dcterms:W3CDTF">2022-02-24T06:11:00Z</dcterms:created>
  <dcterms:modified xsi:type="dcterms:W3CDTF">2022-03-02T01:27:00Z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53DEE4849E3A4DC5AAEF8C9AF48F2E9B</vt:lpwstr>
  </property>
</Properties>
</file>