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629CB" w14:textId="77777777" w:rsidR="00A53413" w:rsidRPr="00A53413" w:rsidRDefault="00A53413" w:rsidP="00A53413">
      <w:pPr>
        <w:rPr>
          <w:rFonts w:hint="eastAsia"/>
          <w:b/>
          <w:bCs/>
        </w:rPr>
      </w:pPr>
      <w:r w:rsidRPr="00A53413">
        <w:rPr>
          <w:rFonts w:hint="eastAsia"/>
          <w:b/>
          <w:bCs/>
        </w:rPr>
        <w:t>哪些情况 不属于保险公司给付保险金的责任范围？</w:t>
      </w:r>
    </w:p>
    <w:p w14:paraId="577DFD54" w14:textId="77777777" w:rsidR="00A53413" w:rsidRPr="00A53413" w:rsidRDefault="00A53413" w:rsidP="00A53413">
      <w:pPr>
        <w:rPr>
          <w:rFonts w:hint="eastAsia"/>
          <w:b/>
        </w:rPr>
      </w:pPr>
      <w:r w:rsidRPr="00A53413">
        <w:rPr>
          <w:rFonts w:hint="eastAsia"/>
          <w:b/>
        </w:rPr>
        <w:t>因下列情形之一，造成被保险人医疗费用支出的，保险公司不承担给付保险金责任</w:t>
      </w:r>
    </w:p>
    <w:p w14:paraId="176C5C48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挂号费、诊疗费、院外会诊费、病历卡工本费、出诊费、各类检查、治疗的特需费、加急费、特需门诊、家庭病床、就诊交通费、救护车费、空调费、保暖费、护工费、陪护费、煎药费、送药费、特殊护理费、观察费、伙食费、误工费、停尸费、病历费、中药滋补膏方、医保分类药品中属于分类自负的费用；</w:t>
      </w:r>
    </w:p>
    <w:p w14:paraId="331CE4B0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不符合2002年下发的《上海市职工基本医疗保险文件选编》及相关文件规定的自费项目和药品，及非药准字的相关药品；</w:t>
      </w:r>
    </w:p>
    <w:p w14:paraId="767E060E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各种体检（含婚前检查、考证体检）、要求检查、疾病普查等项目，预防针（含狂犬疫苗和流感疫苗、肝炎疫苗等所有疫苗）。各种科研项目：如各种过敏试验、染色体检查、临床基因扩增（PCR）检查、各种DNA测定，HPV、TCT检查；就诊当日所开具的化验项目三日内有效；</w:t>
      </w:r>
    </w:p>
    <w:p w14:paraId="5BBB4A49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教职工在非保险公司指定的上海市医保指定医院就诊的（急诊除外）；</w:t>
      </w:r>
    </w:p>
    <w:p w14:paraId="3B1DAE75" w14:textId="77777777" w:rsidR="00A53413" w:rsidRPr="00A53413" w:rsidRDefault="00A53413" w:rsidP="00A53413">
      <w:p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注：保险公司指定的医院请参见附件；</w:t>
      </w:r>
    </w:p>
    <w:p w14:paraId="7CBA9378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 xml:space="preserve">与此次诊断疾病不符、无诊断依据，无就诊日期、科别、主诉、现病史、既往史、阳性体征，诊断及治疗意见和医师签名等；见释义3 </w:t>
      </w:r>
    </w:p>
    <w:p w14:paraId="1CB8620D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代配药、外配药、备药（含外出备药）、病历涂改当时无加盖更正章、增补病历、抄（转）方、病史同前或同上配药、跨科配药或检查，卡方不符（见释义4）的；</w:t>
      </w:r>
    </w:p>
    <w:p w14:paraId="68963F26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不符合住院理赔标准（见释义5）的相关住院费用、超常规检查（见释义6）；</w:t>
      </w:r>
    </w:p>
    <w:p w14:paraId="67017802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非发票原件、非医保发票、半联发票、发票打印不清、发票无就诊日期、手写发票、索赔时未同时提供电脑打印的检查、化验、治疗及药品费用明细清单的；</w:t>
      </w:r>
    </w:p>
    <w:p w14:paraId="3E65D173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实施计划生育手术及手术并发症相关治疗及用药，各种不孕不育症，输卵管检查,性功能障碍、产前检查、生育全过程中产生的费用及产后复查等相关费用（含妊娠合并症、异位妊娠）；</w:t>
      </w:r>
    </w:p>
    <w:p w14:paraId="6320F1C1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有关艾滋病或感染艾滋病毒（HIV呈阳性）期间、梅毒、淋病、尖锐湿疣（HPV检查）、生殖器疱疹、疖疮阴虱、软下疳、淋巴肉牙肿、非淋菌性尿道炎（包括支原体、衣原体检查等）、淋球菌引起的妇科炎症（包括支原体、衣原体检查等）等性传播疾病而引起的医疗费；</w:t>
      </w:r>
    </w:p>
    <w:p w14:paraId="01E7762C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被保险人因任何原因(含疾病)所致的洗牙、洁牙、种植牙、牙移植、牙齿楔形缺损修复、义齿修复（包括桩冠、套冠、安装义齿）、镶牙、烤瓷牙等相关医疗费用；</w:t>
      </w:r>
    </w:p>
    <w:p w14:paraId="27AD2F88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矫形治疗：如腋臭、副耳、口吃、牙列不整、口腔修复、口腔正畸、口腔保健、口腔美容、鼻鼾手术、平足、屈光不正、眼镜、助听器装配、人工晶体植入费用、近视和斜视的矫形术（含术前检查费）及其他先天畸形矫治治疗等项目；</w:t>
      </w:r>
    </w:p>
    <w:p w14:paraId="3A053B11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各种美容、整形项目：如任何原因(含疾病)引起的皮肤色素沉着（含黄褐斑、痤疮、粉刺及去痣等项目）、祛疣、面膜，疤痕美容、药物按摩、激光美容、祛除纹身、除皱、祛雀斑、开双眼皮、眼袋手术、治疗白发、治疗秃发（含脂溢性脱发）、植发、脱毛、隆鼻、隆胸、穿耳洞等相关费用；</w:t>
      </w:r>
    </w:p>
    <w:p w14:paraId="75B7D0AA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各种健美治疗：如减肥、增胖、增高等项目；各种预防、保健性、疗养或特别护理的诊疗项目：如各种疫苗预防接种、足部反射推拿疗法、电脑按摩、药物按摩、健身按摩等项目；</w:t>
      </w:r>
    </w:p>
    <w:p w14:paraId="27CD13A1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购置移植器官源及相关费用、购买轮椅、助听器及配镜和安装义肢；</w:t>
      </w:r>
    </w:p>
    <w:p w14:paraId="0176C35C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整容手术或其他内、外科手术导致医疗事故；工伤事故、交通事故所致的相关费用；</w:t>
      </w:r>
    </w:p>
    <w:p w14:paraId="443158EB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被保人未遵医嘱私自服用、涂用、注射药物；</w:t>
      </w:r>
    </w:p>
    <w:p w14:paraId="342D0790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被保险人故意犯罪或拒捕；被保险人因殴斗、酗酒、自杀、故意自伤所产生的医疗</w:t>
      </w:r>
      <w:r w:rsidRPr="00A53413">
        <w:rPr>
          <w:rFonts w:hint="eastAsia"/>
          <w:b/>
          <w:u w:val="single"/>
        </w:rPr>
        <w:lastRenderedPageBreak/>
        <w:t>费用及服用、吸食、注射毒品进行治疗的；</w:t>
      </w:r>
    </w:p>
    <w:p w14:paraId="3E87FC99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被保险人在外地、国外和香港、澳门特别行政区及台湾地区就医；</w:t>
      </w:r>
    </w:p>
    <w:p w14:paraId="01F258E5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战争、军事行动、暴乱或武装叛乱；核爆炸、核辐射或核污染及所致的疾病；</w:t>
      </w:r>
    </w:p>
    <w:p w14:paraId="4948FE77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被保人酒后驾驶、无合法有效驾驶证驾驶或驾驶无有效行驶证的机动车；</w:t>
      </w:r>
    </w:p>
    <w:p w14:paraId="1056FAB2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被保人从事潜水、跳伞、攀岩活动、探险活动、武术比赛、摔跤比赛、特技表演、赛马、赛车等高风险运动；</w:t>
      </w:r>
    </w:p>
    <w:p w14:paraId="73DC3283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各种医疗鉴定项目：如劳动能力鉴定费（职工劳动能力、工伤、职业病诊断鉴定），精神病人的司法鉴定费、各种疾病咨询费（心理咨询费）、医疗事故鉴定费、各种验伤费等；</w:t>
      </w:r>
    </w:p>
    <w:p w14:paraId="618AC01A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各种无痛检查（胃镜、肠镜、气管镜、诊刮等）的麻醉费、各种先天性疾病。</w:t>
      </w:r>
    </w:p>
    <w:p w14:paraId="22F890AB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医疗收据遗失：收据原件遗失一律不可赔付，医院证明或收据复印件均无效。</w:t>
      </w:r>
    </w:p>
    <w:p w14:paraId="34D2C730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不实索赔的处理：若发现某参保科教职工有虚假赔案的，新华保险公司有权拒绝其理赔申请，并单方面终止其相关保险权益，拒退其保险费,并由相关被保险人承担相应调查费用。对于个别证据确凿、情节严重的被保险人，我司将将其纳入“被保险人道德风险黑名单”。除本次全额拒赔外，还将在其系统内对该被保险人进行通告批评，并取消该被保险人本年度的理赔申请资格。</w:t>
      </w:r>
    </w:p>
    <w:p w14:paraId="153058D4" w14:textId="77777777" w:rsidR="00A53413" w:rsidRPr="00A53413" w:rsidRDefault="00A53413" w:rsidP="00A53413">
      <w:pPr>
        <w:numPr>
          <w:ilvl w:val="0"/>
          <w:numId w:val="1"/>
        </w:numPr>
        <w:rPr>
          <w:rFonts w:hint="eastAsia"/>
          <w:b/>
          <w:u w:val="single"/>
        </w:rPr>
      </w:pPr>
      <w:r w:rsidRPr="00A53413">
        <w:rPr>
          <w:rFonts w:hint="eastAsia"/>
          <w:b/>
          <w:u w:val="single"/>
        </w:rPr>
        <w:t>有医保者未使用医保卡（或社保卡）就诊，补办手续除外；</w:t>
      </w:r>
    </w:p>
    <w:p w14:paraId="0D2781E6" w14:textId="40F797E1" w:rsidR="00A53413" w:rsidRDefault="00A53413">
      <w:pPr>
        <w:rPr>
          <w:lang w:eastAsia="zh-CN"/>
        </w:rPr>
      </w:pPr>
    </w:p>
    <w:p w14:paraId="758A69CD" w14:textId="5A09E039" w:rsidR="00A53413" w:rsidRDefault="00A53413">
      <w:pPr>
        <w:rPr>
          <w:lang w:eastAsia="zh-CN"/>
        </w:rPr>
      </w:pPr>
    </w:p>
    <w:p w14:paraId="3AAC42DC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释义1   急诊</w:t>
      </w:r>
    </w:p>
    <w:p w14:paraId="7D8DC8C3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1、 高热（38.5度以上）；</w:t>
      </w:r>
    </w:p>
    <w:p w14:paraId="435BCEAF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2、 急性腹痛、剧烈呕吐、严重腹泻；</w:t>
      </w:r>
    </w:p>
    <w:p w14:paraId="3414F481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3、 各种原因的休克；昏迷；癫痫发作；</w:t>
      </w:r>
    </w:p>
    <w:p w14:paraId="22F4C60B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4、 严重喘息、呼吸困难；</w:t>
      </w:r>
    </w:p>
    <w:p w14:paraId="235E4AEC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5、 急性胸痛、急性心力衰竭、严重心律失常；</w:t>
      </w:r>
    </w:p>
    <w:p w14:paraId="736CF8AD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6、 高血压危象、高血压脑病、脑血管意外、剧烈头痛；</w:t>
      </w:r>
    </w:p>
    <w:p w14:paraId="368D06D9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7、 各种原因所致急性出血；急性泌尿道出(积)血、尿闭、血闭、肾绞痛；</w:t>
      </w:r>
    </w:p>
    <w:p w14:paraId="5B4C925D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8、 各种急性(食物或药物)中毒、各种意外（触电、溺水）；</w:t>
      </w:r>
    </w:p>
    <w:p w14:paraId="2397EA54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9、 脑外伤、骨折、脱位、撕裂、灼伤、或其它急性外伤 (第三方责任除外) ；</w:t>
      </w:r>
    </w:p>
    <w:p w14:paraId="16056B9D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10、各种有毒动物、昆虫咬伤、急性过敏性疾病；</w:t>
      </w:r>
    </w:p>
    <w:p w14:paraId="68FE2A5E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11、五官及呼吸道、食道异物、急性眼痛、红、肿，突然视力障碍者以及眼外伤。</w:t>
      </w:r>
    </w:p>
    <w:p w14:paraId="79AC4B29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</w:rPr>
      </w:pPr>
    </w:p>
    <w:p w14:paraId="61CC5D20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释义2   门诊慢性病</w:t>
      </w:r>
    </w:p>
    <w:p w14:paraId="781D90EE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主要包含：</w:t>
      </w:r>
    </w:p>
    <w:p w14:paraId="214DE16A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慢性肾病、泌尿系结石、慢性支气管炎、肺结核、再生障碍性贫血、甲状腺疾病、痛风、高脂血症、慢性肝病、肝硬化、系统性红班狼疮、类风湿性关节炎、膀胱炎、精神分裂症、重症肌无力、盆（腹）腔良（恶）性肿瘤、慢性胆囊炎、胰腺炎、乳腺疾病、慢性宫颈炎、银屑病。</w:t>
      </w:r>
    </w:p>
    <w:p w14:paraId="43CD692A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以上门诊慢性病需诊断明确、病情稳定、治疗方案确定。</w:t>
      </w:r>
    </w:p>
    <w:p w14:paraId="3A4838F0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</w:p>
    <w:p w14:paraId="7FBD305E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释义3   门诊初诊/复诊病历书写规范</w:t>
      </w:r>
    </w:p>
    <w:p w14:paraId="17F5768B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  <w:t xml:space="preserve">初诊:就诊日期   就诊科室  </w:t>
      </w: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 xml:space="preserve">       </w:t>
      </w:r>
      <w:r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  <w:t xml:space="preserve">  复诊:就诊日期   就诊科室   </w:t>
      </w:r>
    </w:p>
    <w:p w14:paraId="3ED177A8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  <w:t xml:space="preserve">  主诉:                   </w:t>
      </w: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 xml:space="preserve">       </w:t>
      </w:r>
      <w:r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  <w:t xml:space="preserve">  主诉:                      </w:t>
      </w:r>
    </w:p>
    <w:p w14:paraId="04E8349D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  <w:t xml:space="preserve">  现病史:                 </w:t>
      </w: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 xml:space="preserve">       </w:t>
      </w:r>
      <w:r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  <w:t xml:space="preserve">  现病史:                    </w:t>
      </w:r>
    </w:p>
    <w:p w14:paraId="5B371093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  <w:t xml:space="preserve">既往史:                   </w:t>
      </w: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 xml:space="preserve">       </w:t>
      </w:r>
      <w:r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  <w:t xml:space="preserve">辅助检查                     </w:t>
      </w:r>
    </w:p>
    <w:p w14:paraId="6A83B150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  <w:t xml:space="preserve">辅助检查:                 </w:t>
      </w: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 xml:space="preserve">       </w:t>
      </w:r>
      <w:r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  <w:t xml:space="preserve">阳性体征:                    </w:t>
      </w:r>
    </w:p>
    <w:p w14:paraId="59364911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  <w:t xml:space="preserve">阳性体征:                 </w:t>
      </w: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 xml:space="preserve">       </w:t>
      </w:r>
      <w:r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  <w:t xml:space="preserve">诊断:                        </w:t>
      </w:r>
    </w:p>
    <w:p w14:paraId="129DE673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  <w:t xml:space="preserve">诊断:                     </w:t>
      </w: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 xml:space="preserve">       </w:t>
      </w:r>
      <w:r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  <w:t xml:space="preserve">治疗意见：                   </w:t>
      </w:r>
    </w:p>
    <w:p w14:paraId="4E9E7203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  <w:t xml:space="preserve">治疗意见：                </w:t>
      </w:r>
    </w:p>
    <w:p w14:paraId="2F88CBAF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  <w:t xml:space="preserve">医师签名:                 </w:t>
      </w: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 xml:space="preserve">       </w:t>
      </w:r>
      <w:r>
        <w:rPr>
          <w:rFonts w:ascii="黑体" w:eastAsia="黑体" w:hAnsi="黑体" w:hint="eastAsia"/>
          <w:bCs/>
          <w:sz w:val="22"/>
          <w:szCs w:val="24"/>
          <w:u w:val="single"/>
          <w:lang w:val="en-US" w:eastAsia="zh-CN"/>
        </w:rPr>
        <w:t xml:space="preserve">医师签名                     </w:t>
      </w:r>
    </w:p>
    <w:p w14:paraId="2DFAD650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/>
          <w:bCs/>
          <w:sz w:val="22"/>
          <w:szCs w:val="24"/>
          <w:lang w:val="en-US" w:eastAsia="zh-CN"/>
        </w:rPr>
      </w:pPr>
    </w:p>
    <w:p w14:paraId="0AFC7775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lastRenderedPageBreak/>
        <w:t>高血压、糖尿病和心脏病门诊需诊断明确、病情稳定、治疗方案确定可提供简单病史。</w:t>
      </w:r>
    </w:p>
    <w:p w14:paraId="127F866B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</w:p>
    <w:p w14:paraId="41547237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释义4   卡方不符</w:t>
      </w:r>
    </w:p>
    <w:p w14:paraId="5FAE7C6C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 xml:space="preserve"> 处方、检查单和《就医记录册》不相符合或部分内容无记录。</w:t>
      </w:r>
    </w:p>
    <w:p w14:paraId="43E83046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</w:p>
    <w:p w14:paraId="3D90BCA1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释义5   不符合住院理赔标准</w:t>
      </w:r>
    </w:p>
    <w:p w14:paraId="74A1461A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不符合住院理赔标准：如高血压Ⅰ期、贫血、尿路感染、胃炎、肠炎、支气管炎、肺炎、上呼吸道感染、脚气、扁桃体炎、咽炎、盆腔炎住院等。可行门诊检查、治疗或手术的疾病，不可住院治疗（抢救病人除外）。就诊疾病因病情需要行门诊补液治疗（部分慢性病急性发作可行门诊补液治疗），如门诊补液治疗三天后效果不明显或病情加重，需入院进一步治疗的，方可入院治疗。凡经诊断需入院手术治疗的，入院后由于个人原因要求自动出院或转院且未行手术的，不予理赔。</w:t>
      </w:r>
    </w:p>
    <w:p w14:paraId="6A0B3693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</w:p>
    <w:p w14:paraId="4B398B3B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释义6   超常规检查（急诊除外）</w:t>
      </w:r>
    </w:p>
    <w:p w14:paraId="799F2A80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 xml:space="preserve">（1）套餐检查：未做基础检查直接做CT、未做CT直接做MRI的，或基础检查已确诊，又进一步做检查的； </w:t>
      </w:r>
    </w:p>
    <w:p w14:paraId="6A2E690F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基础检查项目：心电图、黑白超声、透视、X线检查、血尿粪常规、脑血流图、呼气实验；</w:t>
      </w:r>
    </w:p>
    <w:p w14:paraId="11814855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特殊检查项目：CT、MRI（核磁共振）、运动平板实验，24小时动态心电图，颈、椎动脉超声检查、乳房钼钯、乳腺高频彩超。</w:t>
      </w:r>
    </w:p>
    <w:p w14:paraId="27C09D3A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Cs/>
          <w:sz w:val="22"/>
          <w:szCs w:val="24"/>
          <w:lang w:val="en-US" w:eastAsia="zh-CN"/>
        </w:rPr>
      </w:pPr>
      <w:r>
        <w:rPr>
          <w:rFonts w:ascii="黑体" w:eastAsia="黑体" w:hAnsi="黑体" w:hint="eastAsia"/>
          <w:bCs/>
          <w:sz w:val="22"/>
          <w:szCs w:val="24"/>
          <w:lang w:val="en-US" w:eastAsia="zh-CN"/>
        </w:rPr>
        <w:t>（2）开具非适应症或不必要重复检查的项目。</w:t>
      </w:r>
    </w:p>
    <w:p w14:paraId="235C8454" w14:textId="77777777" w:rsidR="00A53413" w:rsidRDefault="00A53413" w:rsidP="00A53413">
      <w:pPr>
        <w:widowControl/>
        <w:spacing w:line="240" w:lineRule="exact"/>
        <w:ind w:firstLine="448"/>
        <w:rPr>
          <w:rFonts w:ascii="黑体" w:eastAsia="黑体" w:hAnsi="黑体" w:hint="eastAsia"/>
          <w:b/>
          <w:bCs/>
          <w:sz w:val="22"/>
          <w:szCs w:val="24"/>
          <w:lang w:val="en-US" w:eastAsia="zh-CN"/>
        </w:rPr>
      </w:pPr>
    </w:p>
    <w:p w14:paraId="47EBC332" w14:textId="77777777" w:rsidR="00A53413" w:rsidRDefault="00A53413">
      <w:pPr>
        <w:rPr>
          <w:lang w:eastAsia="zh-CN"/>
        </w:rPr>
      </w:pPr>
    </w:p>
    <w:p w14:paraId="1FAF08D4" w14:textId="7156DFA8" w:rsidR="00A53413" w:rsidRPr="00A53413" w:rsidRDefault="00A53413">
      <w:r>
        <w:rPr>
          <w:rFonts w:hint="eastAsia"/>
        </w:rPr>
        <w:t>摘自《</w:t>
      </w:r>
      <w:r w:rsidRPr="00A53413">
        <w:t>2019年上海理工大学医疗保险服务手册</w:t>
      </w:r>
      <w:r>
        <w:rPr>
          <w:rFonts w:hint="eastAsia"/>
        </w:rPr>
        <w:t>》</w:t>
      </w:r>
    </w:p>
    <w:sectPr w:rsidR="00A53413" w:rsidRPr="00A53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ind w:left="750" w:hanging="420"/>
      </w:pPr>
    </w:lvl>
    <w:lvl w:ilvl="1">
      <w:start w:val="1"/>
      <w:numFmt w:val="lowerLetter"/>
      <w:lvlText w:val="%2)"/>
      <w:lvlJc w:val="left"/>
      <w:pPr>
        <w:ind w:left="1170" w:hanging="420"/>
      </w:pPr>
    </w:lvl>
    <w:lvl w:ilvl="2">
      <w:start w:val="1"/>
      <w:numFmt w:val="lowerRoman"/>
      <w:lvlText w:val="%3."/>
      <w:lvlJc w:val="right"/>
      <w:pPr>
        <w:ind w:left="1590" w:hanging="420"/>
      </w:pPr>
    </w:lvl>
    <w:lvl w:ilvl="3">
      <w:start w:val="1"/>
      <w:numFmt w:val="decimal"/>
      <w:lvlText w:val="%4."/>
      <w:lvlJc w:val="left"/>
      <w:pPr>
        <w:ind w:left="2010" w:hanging="420"/>
      </w:pPr>
    </w:lvl>
    <w:lvl w:ilvl="4">
      <w:start w:val="1"/>
      <w:numFmt w:val="lowerLetter"/>
      <w:lvlText w:val="%5)"/>
      <w:lvlJc w:val="left"/>
      <w:pPr>
        <w:ind w:left="2430" w:hanging="420"/>
      </w:pPr>
    </w:lvl>
    <w:lvl w:ilvl="5">
      <w:start w:val="1"/>
      <w:numFmt w:val="lowerRoman"/>
      <w:lvlText w:val="%6."/>
      <w:lvlJc w:val="right"/>
      <w:pPr>
        <w:ind w:left="2850" w:hanging="420"/>
      </w:pPr>
    </w:lvl>
    <w:lvl w:ilvl="6">
      <w:start w:val="1"/>
      <w:numFmt w:val="decimal"/>
      <w:lvlText w:val="%7."/>
      <w:lvlJc w:val="left"/>
      <w:pPr>
        <w:ind w:left="3270" w:hanging="420"/>
      </w:pPr>
    </w:lvl>
    <w:lvl w:ilvl="7">
      <w:start w:val="1"/>
      <w:numFmt w:val="lowerLetter"/>
      <w:lvlText w:val="%8)"/>
      <w:lvlJc w:val="left"/>
      <w:pPr>
        <w:ind w:left="3690" w:hanging="420"/>
      </w:pPr>
    </w:lvl>
    <w:lvl w:ilvl="8">
      <w:start w:val="1"/>
      <w:numFmt w:val="lowerRoman"/>
      <w:lvlText w:val="%9."/>
      <w:lvlJc w:val="right"/>
      <w:pPr>
        <w:ind w:left="41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13"/>
    <w:rsid w:val="00A5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9AC52"/>
  <w15:chartTrackingRefBased/>
  <w15:docId w15:val="{55A9F078-3B8E-4AAA-AF37-D57DCA2A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A53413"/>
    <w:pPr>
      <w:widowControl/>
      <w:spacing w:after="160" w:line="240" w:lineRule="exact"/>
      <w:jc w:val="left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2020-07-20T07:33:00Z</dcterms:created>
  <dcterms:modified xsi:type="dcterms:W3CDTF">2020-07-20T07:40:00Z</dcterms:modified>
</cp:coreProperties>
</file>