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70B64" w:rsidRPr="00970B64" w:rsidTr="00970B64">
        <w:trPr>
          <w:trHeight w:val="780"/>
          <w:tblCellSpacing w:w="0" w:type="dxa"/>
          <w:jc w:val="center"/>
        </w:trPr>
        <w:tc>
          <w:tcPr>
            <w:tcW w:w="0" w:type="auto"/>
            <w:vAlign w:val="center"/>
            <w:hideMark/>
          </w:tcPr>
          <w:p w:rsidR="00970B64" w:rsidRPr="00970B64" w:rsidRDefault="00970B64" w:rsidP="00970B64">
            <w:pPr>
              <w:widowControl/>
              <w:jc w:val="center"/>
              <w:rPr>
                <w:rFonts w:ascii="ˎ̥" w:eastAsia="宋体" w:hAnsi="ˎ̥" w:cs="宋体"/>
                <w:color w:val="FF0000"/>
                <w:kern w:val="0"/>
                <w:sz w:val="52"/>
                <w:szCs w:val="52"/>
              </w:rPr>
            </w:pPr>
            <w:r w:rsidRPr="00970B64">
              <w:rPr>
                <w:rFonts w:ascii="ˎ̥" w:eastAsia="宋体" w:hAnsi="ˎ̥" w:cs="宋体"/>
                <w:b/>
                <w:bCs/>
                <w:color w:val="FF0000"/>
                <w:kern w:val="0"/>
                <w:sz w:val="52"/>
                <w:szCs w:val="52"/>
              </w:rPr>
              <w:t>国家外国专家局文件</w:t>
            </w:r>
          </w:p>
        </w:tc>
      </w:tr>
      <w:tr w:rsidR="00970B64" w:rsidRPr="00970B64" w:rsidTr="00970B64">
        <w:trPr>
          <w:trHeight w:val="525"/>
          <w:tblCellSpacing w:w="0" w:type="dxa"/>
          <w:jc w:val="center"/>
        </w:trPr>
        <w:tc>
          <w:tcPr>
            <w:tcW w:w="0" w:type="auto"/>
            <w:vAlign w:val="center"/>
            <w:hideMark/>
          </w:tcPr>
          <w:p w:rsidR="00970B64" w:rsidRPr="00970B64" w:rsidRDefault="00970B64" w:rsidP="00970B64">
            <w:pPr>
              <w:widowControl/>
              <w:jc w:val="center"/>
              <w:rPr>
                <w:rFonts w:ascii="ˎ̥" w:eastAsia="宋体" w:hAnsi="ˎ̥" w:cs="宋体"/>
                <w:color w:val="000000"/>
                <w:kern w:val="0"/>
                <w:sz w:val="24"/>
                <w:szCs w:val="24"/>
              </w:rPr>
            </w:pPr>
            <w:r w:rsidRPr="00970B64">
              <w:rPr>
                <w:rFonts w:ascii="ˎ̥" w:eastAsia="宋体" w:hAnsi="ˎ̥" w:cs="宋体"/>
                <w:color w:val="000000"/>
                <w:kern w:val="0"/>
                <w:sz w:val="24"/>
                <w:szCs w:val="24"/>
              </w:rPr>
              <w:t>外专发〔</w:t>
            </w:r>
            <w:r w:rsidRPr="00970B64">
              <w:rPr>
                <w:rFonts w:ascii="ˎ̥" w:eastAsia="宋体" w:hAnsi="ˎ̥" w:cs="宋体"/>
                <w:color w:val="000000"/>
                <w:kern w:val="0"/>
                <w:sz w:val="24"/>
                <w:szCs w:val="24"/>
              </w:rPr>
              <w:t>2010</w:t>
            </w:r>
            <w:r w:rsidRPr="00970B64">
              <w:rPr>
                <w:rFonts w:ascii="ˎ̥" w:eastAsia="宋体" w:hAnsi="ˎ̥" w:cs="宋体"/>
                <w:color w:val="000000"/>
                <w:kern w:val="0"/>
                <w:sz w:val="24"/>
                <w:szCs w:val="24"/>
              </w:rPr>
              <w:t>〕</w:t>
            </w:r>
            <w:r w:rsidRPr="00970B64">
              <w:rPr>
                <w:rFonts w:ascii="ˎ̥" w:eastAsia="宋体" w:hAnsi="ˎ̥" w:cs="宋体"/>
                <w:color w:val="000000"/>
                <w:kern w:val="0"/>
                <w:sz w:val="24"/>
                <w:szCs w:val="24"/>
              </w:rPr>
              <w:t>87</w:t>
            </w:r>
            <w:r w:rsidRPr="00970B64">
              <w:rPr>
                <w:rFonts w:ascii="ˎ̥" w:eastAsia="宋体" w:hAnsi="ˎ̥" w:cs="宋体"/>
                <w:color w:val="000000"/>
                <w:kern w:val="0"/>
                <w:sz w:val="24"/>
                <w:szCs w:val="24"/>
              </w:rPr>
              <w:t>号</w:t>
            </w:r>
          </w:p>
        </w:tc>
      </w:tr>
      <w:tr w:rsidR="00970B64" w:rsidRPr="00970B64" w:rsidTr="00970B64">
        <w:trPr>
          <w:trHeight w:val="525"/>
          <w:tblCellSpacing w:w="0" w:type="dxa"/>
          <w:jc w:val="center"/>
        </w:trPr>
        <w:tc>
          <w:tcPr>
            <w:tcW w:w="0" w:type="auto"/>
            <w:vAlign w:val="center"/>
            <w:hideMark/>
          </w:tcPr>
          <w:p w:rsidR="00970B64" w:rsidRPr="00970B64" w:rsidRDefault="00970B64" w:rsidP="00970B64">
            <w:pPr>
              <w:widowControl/>
              <w:jc w:val="left"/>
              <w:rPr>
                <w:rFonts w:ascii="ˎ̥" w:eastAsia="宋体" w:hAnsi="ˎ̥" w:cs="宋体"/>
                <w:color w:val="000000"/>
                <w:kern w:val="0"/>
                <w:sz w:val="22"/>
              </w:rPr>
            </w:pPr>
            <w:r w:rsidRPr="00970B64">
              <w:rPr>
                <w:rFonts w:ascii="ˎ̥" w:eastAsia="宋体" w:hAnsi="ˎ̥" w:cs="宋体"/>
                <w:color w:val="000000"/>
                <w:kern w:val="0"/>
                <w:sz w:val="22"/>
              </w:rPr>
              <w:pict>
                <v:rect id="_x0000_i1025" style="width:0;height:.75pt" o:hralign="center" o:hrstd="t" o:hrnoshade="t" o:hr="t" fillcolor="red" stroked="f"/>
              </w:pict>
            </w:r>
          </w:p>
        </w:tc>
      </w:tr>
      <w:tr w:rsidR="00970B64" w:rsidRPr="00970B64" w:rsidTr="00970B64">
        <w:trPr>
          <w:trHeight w:val="405"/>
          <w:tblCellSpacing w:w="0"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970B64" w:rsidRPr="00970B64">
              <w:trPr>
                <w:tblCellSpacing w:w="15" w:type="dxa"/>
                <w:jc w:val="center"/>
              </w:trPr>
              <w:tc>
                <w:tcPr>
                  <w:tcW w:w="0" w:type="auto"/>
                  <w:hideMark/>
                </w:tcPr>
                <w:p w:rsidR="00970B64" w:rsidRPr="00970B64" w:rsidRDefault="00970B64" w:rsidP="00970B64">
                  <w:pPr>
                    <w:widowControl/>
                    <w:jc w:val="center"/>
                    <w:rPr>
                      <w:rFonts w:ascii="ˎ̥" w:eastAsia="宋体" w:hAnsi="ˎ̥" w:cs="宋体"/>
                      <w:color w:val="000000"/>
                      <w:kern w:val="0"/>
                      <w:sz w:val="22"/>
                    </w:rPr>
                  </w:pPr>
                  <w:bookmarkStart w:id="0" w:name="_GoBack"/>
                  <w:r w:rsidRPr="00970B64">
                    <w:rPr>
                      <w:rFonts w:ascii="宋体" w:eastAsia="宋体" w:hAnsi="宋体" w:cs="宋体" w:hint="eastAsia"/>
                      <w:b/>
                      <w:bCs/>
                      <w:color w:val="000000"/>
                      <w:kern w:val="0"/>
                      <w:sz w:val="32"/>
                      <w:szCs w:val="32"/>
                    </w:rPr>
                    <w:t>关于印发《引进人才专家经费管理实施细则》的通知</w:t>
                  </w:r>
                  <w:bookmarkEnd w:id="0"/>
                </w:p>
              </w:tc>
            </w:tr>
          </w:tbl>
          <w:p w:rsidR="00970B64" w:rsidRPr="00970B64" w:rsidRDefault="00970B64" w:rsidP="00970B64">
            <w:pPr>
              <w:widowControl/>
              <w:jc w:val="center"/>
              <w:rPr>
                <w:rFonts w:ascii="ˎ̥" w:eastAsia="宋体" w:hAnsi="ˎ̥" w:cs="宋体"/>
                <w:color w:val="000000"/>
                <w:kern w:val="0"/>
                <w:sz w:val="36"/>
                <w:szCs w:val="36"/>
              </w:rPr>
            </w:pPr>
          </w:p>
        </w:tc>
      </w:tr>
      <w:tr w:rsidR="00970B64" w:rsidRPr="00970B64" w:rsidTr="00970B64">
        <w:trPr>
          <w:tblCellSpacing w:w="0" w:type="dxa"/>
          <w:jc w:val="center"/>
        </w:trPr>
        <w:tc>
          <w:tcPr>
            <w:tcW w:w="0" w:type="auto"/>
            <w:vAlign w:val="center"/>
            <w:hideMark/>
          </w:tcPr>
          <w:p w:rsidR="00970B64" w:rsidRPr="00970B64" w:rsidRDefault="00970B64" w:rsidP="00970B64">
            <w:pPr>
              <w:widowControl/>
              <w:spacing w:line="480" w:lineRule="auto"/>
              <w:jc w:val="left"/>
              <w:rPr>
                <w:rFonts w:ascii="宋体" w:eastAsia="宋体" w:hAnsi="宋体" w:cs="宋体"/>
                <w:color w:val="000000"/>
                <w:kern w:val="0"/>
                <w:sz w:val="24"/>
                <w:szCs w:val="24"/>
              </w:rPr>
            </w:pP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各省、自治区、直辖市及副省级城市外国专家局，国务院各有关部委、直属机构、集团公司引智工作归口管理部门，新疆生产建设兵团外国专家局：</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为加强和规范引进人才专家经费管理，现将《引进人才专家经费管理实施细则》印发给你们，请遵照执行。</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w:t>
            </w:r>
          </w:p>
          <w:p w:rsidR="00970B64" w:rsidRPr="00970B64" w:rsidRDefault="00970B64" w:rsidP="00970B64">
            <w:pPr>
              <w:widowControl/>
              <w:spacing w:before="100" w:beforeAutospacing="1" w:after="100" w:afterAutospacing="1" w:line="360" w:lineRule="auto"/>
              <w:jc w:val="righ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二○一○年五月二十六日</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br/>
            </w:r>
            <w:r w:rsidRPr="00970B64">
              <w:rPr>
                <w:rFonts w:ascii="宋体" w:eastAsia="宋体" w:hAnsi="宋体" w:cs="宋体" w:hint="eastAsia"/>
                <w:b/>
                <w:bCs/>
                <w:color w:val="000000"/>
                <w:kern w:val="0"/>
                <w:sz w:val="24"/>
                <w:szCs w:val="24"/>
              </w:rPr>
              <w:t>引进人才专家经费管理实施细则</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br/>
            </w:r>
            <w:r w:rsidRPr="00970B64">
              <w:rPr>
                <w:rFonts w:ascii="宋体" w:eastAsia="宋体" w:hAnsi="宋体" w:cs="宋体" w:hint="eastAsia"/>
                <w:b/>
                <w:bCs/>
                <w:color w:val="000000"/>
                <w:kern w:val="0"/>
                <w:sz w:val="24"/>
                <w:szCs w:val="24"/>
              </w:rPr>
              <w:t>第一章  总 则</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第一条 为规范引进人才专家经费（以下称专家经费）的管理，明确专家经费的开支范围和资助标准，强化预算监督职能，保证专家经费的合理使用，根据《引进国外人才专项费用管理暂行办法》（外专发〔1999〕163号），特制定本实施细则。</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第二条 本实施细则适用于国家外国专家局批准的专家项目。各地区各部门批准的专家项目可参照本实施细则执行。</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第三条 各单位应严格按照本实施细则的规定执行，不得擅自扩大开支范围和提高开支标准，</w:t>
            </w:r>
            <w:r w:rsidRPr="00970B64">
              <w:rPr>
                <w:rFonts w:ascii="宋体" w:eastAsia="宋体" w:hAnsi="宋体" w:cs="宋体" w:hint="eastAsia"/>
                <w:color w:val="000000"/>
                <w:kern w:val="0"/>
                <w:sz w:val="24"/>
                <w:szCs w:val="24"/>
              </w:rPr>
              <w:lastRenderedPageBreak/>
              <w:t>不得擅自改变专家经费的用途，不得挪用和挤占。</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t>第二章  开支范围和标准</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第四条 专家经费是指国家外国专家局为聘请国外专家来华所发生的费用。专家经费的开支范围包括：国际旅费、专家零用费、专家生活费、城市间交通费和其他费用，资助标准上限详见附件。</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第五条 国际旅费是指专家从国外居住地到中国出（入）</w:t>
            </w:r>
            <w:proofErr w:type="gramStart"/>
            <w:r w:rsidRPr="00970B64">
              <w:rPr>
                <w:rFonts w:ascii="宋体" w:eastAsia="宋体" w:hAnsi="宋体" w:cs="宋体" w:hint="eastAsia"/>
                <w:color w:val="000000"/>
                <w:kern w:val="0"/>
                <w:sz w:val="24"/>
                <w:szCs w:val="24"/>
              </w:rPr>
              <w:t>境口岸</w:t>
            </w:r>
            <w:proofErr w:type="gramEnd"/>
            <w:r w:rsidRPr="00970B64">
              <w:rPr>
                <w:rFonts w:ascii="宋体" w:eastAsia="宋体" w:hAnsi="宋体" w:cs="宋体" w:hint="eastAsia"/>
                <w:color w:val="000000"/>
                <w:kern w:val="0"/>
                <w:sz w:val="24"/>
                <w:szCs w:val="24"/>
              </w:rPr>
              <w:t>之间的往返经济舱国际机票费用或其他交通费用。购买专家机票，需按照《关于加强因公出国机票管理的通知》（财外字〔1998〕283号）和《因公购买国际机票管理办法（暂行）》（外专发〔2003〕28号）的要求执行，即在规定的购票点购票，</w:t>
            </w:r>
            <w:proofErr w:type="gramStart"/>
            <w:r w:rsidRPr="00970B64">
              <w:rPr>
                <w:rFonts w:ascii="宋体" w:eastAsia="宋体" w:hAnsi="宋体" w:cs="宋体" w:hint="eastAsia"/>
                <w:color w:val="000000"/>
                <w:kern w:val="0"/>
                <w:sz w:val="24"/>
                <w:szCs w:val="24"/>
              </w:rPr>
              <w:t>凭国际</w:t>
            </w:r>
            <w:proofErr w:type="gramEnd"/>
            <w:r w:rsidRPr="00970B64">
              <w:rPr>
                <w:rFonts w:ascii="宋体" w:eastAsia="宋体" w:hAnsi="宋体" w:cs="宋体" w:hint="eastAsia"/>
                <w:color w:val="000000"/>
                <w:kern w:val="0"/>
                <w:sz w:val="24"/>
                <w:szCs w:val="24"/>
              </w:rPr>
              <w:t>机票发票或收据、机票复印件或电子客票行程单核销。经济舱国际机票的金额低于资助标准时，按实际发生额核销。如外方提供国际机票，则不再资助国际旅费。如因特殊情况需要为专家提供公务</w:t>
            </w:r>
            <w:proofErr w:type="gramStart"/>
            <w:r w:rsidRPr="00970B64">
              <w:rPr>
                <w:rFonts w:ascii="宋体" w:eastAsia="宋体" w:hAnsi="宋体" w:cs="宋体" w:hint="eastAsia"/>
                <w:color w:val="000000"/>
                <w:kern w:val="0"/>
                <w:sz w:val="24"/>
                <w:szCs w:val="24"/>
              </w:rPr>
              <w:t>舱国际</w:t>
            </w:r>
            <w:proofErr w:type="gramEnd"/>
            <w:r w:rsidRPr="00970B64">
              <w:rPr>
                <w:rFonts w:ascii="宋体" w:eastAsia="宋体" w:hAnsi="宋体" w:cs="宋体" w:hint="eastAsia"/>
                <w:color w:val="000000"/>
                <w:kern w:val="0"/>
                <w:sz w:val="24"/>
                <w:szCs w:val="24"/>
              </w:rPr>
              <w:t>机票资助，应在项目申报或执行过程中按程序报国家外国专家局审批。</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第六条 专家零用费是指资助不支付工薪报酬的专家在华工作期间用于个人的费用补贴。专家零用费按专家在华工作实际天数发放，即从专家入境日起至出境日止的天数，超出资助标准部分由聘请单位支付。凡与国家外国专家局有合作协议的外国专家组织派遣的专家，</w:t>
            </w:r>
            <w:proofErr w:type="gramStart"/>
            <w:r w:rsidRPr="00970B64">
              <w:rPr>
                <w:rFonts w:ascii="宋体" w:eastAsia="宋体" w:hAnsi="宋体" w:cs="宋体" w:hint="eastAsia"/>
                <w:color w:val="000000"/>
                <w:kern w:val="0"/>
                <w:sz w:val="24"/>
                <w:szCs w:val="24"/>
              </w:rPr>
              <w:t>其专家</w:t>
            </w:r>
            <w:proofErr w:type="gramEnd"/>
            <w:r w:rsidRPr="00970B64">
              <w:rPr>
                <w:rFonts w:ascii="宋体" w:eastAsia="宋体" w:hAnsi="宋体" w:cs="宋体" w:hint="eastAsia"/>
                <w:color w:val="000000"/>
                <w:kern w:val="0"/>
                <w:sz w:val="24"/>
                <w:szCs w:val="24"/>
              </w:rPr>
              <w:t>零用费标准按照合作协议的标准执行。</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第七条 专家生活费是指专家在华工作期间的住宿费、餐费、市内交通费和翻译费等。专家生活费按专家在华工作实际天数计算，即从专家入境日起至出境日止的天数，超出资助标准部分由聘请单位支付。</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第八条 城市间交通费是指专家从出（入）</w:t>
            </w:r>
            <w:proofErr w:type="gramStart"/>
            <w:r w:rsidRPr="00970B64">
              <w:rPr>
                <w:rFonts w:ascii="宋体" w:eastAsia="宋体" w:hAnsi="宋体" w:cs="宋体" w:hint="eastAsia"/>
                <w:color w:val="000000"/>
                <w:kern w:val="0"/>
                <w:sz w:val="24"/>
                <w:szCs w:val="24"/>
              </w:rPr>
              <w:t>境口岸</w:t>
            </w:r>
            <w:proofErr w:type="gramEnd"/>
            <w:r w:rsidRPr="00970B64">
              <w:rPr>
                <w:rFonts w:ascii="宋体" w:eastAsia="宋体" w:hAnsi="宋体" w:cs="宋体" w:hint="eastAsia"/>
                <w:color w:val="000000"/>
                <w:kern w:val="0"/>
                <w:sz w:val="24"/>
                <w:szCs w:val="24"/>
              </w:rPr>
              <w:t>至工作城市的中国境内交通费，包括专家乘坐飞机经济舱、火车、汽车或租车等往返费用。城市间交通费超出资助标准部分由聘请单位支付。</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第九条 其他费用是指技术资料费、突出贡献奖励费等费用，须在项目执行过程中向国家外国专家局提出申请，待批准后方能支付，各单位不得自行在该项目费用中列支。</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第十条 我方陪同人员的差旅及交通等费用，应由聘请单位支付，不得在专家经费中列支。聘请单位因接待专家而购置器材设备的购置费用，应按原开支渠道支付，不得在专家经费中列支。</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第十一条 每位专家一次来华，资助时间不超过30天，专家经费最高资助标准不得超过4.5</w:t>
            </w:r>
            <w:r w:rsidRPr="00970B64">
              <w:rPr>
                <w:rFonts w:ascii="宋体" w:eastAsia="宋体" w:hAnsi="宋体" w:cs="宋体" w:hint="eastAsia"/>
                <w:color w:val="000000"/>
                <w:kern w:val="0"/>
                <w:sz w:val="24"/>
                <w:szCs w:val="24"/>
              </w:rPr>
              <w:lastRenderedPageBreak/>
              <w:t>万元人民币（含国际旅费、专家零用费、专家生活费、城市间交通费和其他费用）。</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第十二条 重点项目的专家经费开支范围和资助标准按《关于国家重点引智项目经费管理有关问题的通知》（外专发〔2006〕156号）执行。</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t>第三章  预算和执行管理</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第十三条 各单位每年按规定的要求和时间向国家外国专家局申报下一年度专家项目和预算。当年不能执行、下一年度仍需执行的项目须重新申报，重新取得下一年度项目批号；跨年度执行的项目（当年12月31日以前已开始执行，未完成的项目）需向国家外国专家局备案，项目号可继续使用。重新申报和备案的项目列入下一年度预算。</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第十四条 国家外国专家局根据财政部的要求汇总各单位预算后上报财政部。</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第十五条 国家外国专家局根据财政部批复的预算核定各单位预算，在财政部规定的时间内下达到各单位。各单位预算一经下达，当年一般不再追加预算。如因特殊情况需要追加和调整预算，应在预算执行过程中按程序报国家外国专家局审批。</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第十六条 各单位在批准的专家经费预算内，按规定的开支范围和资助标准执行国家外国专家局批准的专家项目。各单位在执行中超出预算的部分自行支付。</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第十七条 各单位的专家经费要按项目管理（台账管理），按项目核算。每一项开支要落实到项目上，多个项目的共同开支要及时摊销到每一个项目上。</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t>第四章  资金拨付与管理</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第十八条 专家经费根据各单位年度预算、专家项目执行情况和拨款</w:t>
            </w:r>
            <w:proofErr w:type="gramStart"/>
            <w:r w:rsidRPr="00970B64">
              <w:rPr>
                <w:rFonts w:ascii="宋体" w:eastAsia="宋体" w:hAnsi="宋体" w:cs="宋体" w:hint="eastAsia"/>
                <w:color w:val="000000"/>
                <w:kern w:val="0"/>
                <w:sz w:val="24"/>
                <w:szCs w:val="24"/>
              </w:rPr>
              <w:t>申请按</w:t>
            </w:r>
            <w:proofErr w:type="gramEnd"/>
            <w:r w:rsidRPr="00970B64">
              <w:rPr>
                <w:rFonts w:ascii="宋体" w:eastAsia="宋体" w:hAnsi="宋体" w:cs="宋体" w:hint="eastAsia"/>
                <w:color w:val="000000"/>
                <w:kern w:val="0"/>
                <w:sz w:val="24"/>
                <w:szCs w:val="24"/>
              </w:rPr>
              <w:t>季度拨款。当年批准的项目当年执行，执行项目的金额超出预算的部分自行支付；年末结余的专家经费视同下一年度预算预拨款。</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第十九条 各单位对专家项目执行单位可以有以下三种拨款方式，</w:t>
            </w:r>
            <w:proofErr w:type="gramStart"/>
            <w:r w:rsidRPr="00970B64">
              <w:rPr>
                <w:rFonts w:ascii="宋体" w:eastAsia="宋体" w:hAnsi="宋体" w:cs="宋体" w:hint="eastAsia"/>
                <w:color w:val="000000"/>
                <w:kern w:val="0"/>
                <w:sz w:val="24"/>
                <w:szCs w:val="24"/>
              </w:rPr>
              <w:t>其一先</w:t>
            </w:r>
            <w:proofErr w:type="gramEnd"/>
            <w:r w:rsidRPr="00970B64">
              <w:rPr>
                <w:rFonts w:ascii="宋体" w:eastAsia="宋体" w:hAnsi="宋体" w:cs="宋体" w:hint="eastAsia"/>
                <w:color w:val="000000"/>
                <w:kern w:val="0"/>
                <w:sz w:val="24"/>
                <w:szCs w:val="24"/>
              </w:rPr>
              <w:t>拨款，后根据专家项目执行情况核销；其二聘请单位先垫付，专家项目执行完后拨款核销；其三先拨部分专家经费，专家项目执行完后再结算。各单位不能</w:t>
            </w:r>
            <w:proofErr w:type="gramStart"/>
            <w:r w:rsidRPr="00970B64">
              <w:rPr>
                <w:rFonts w:ascii="宋体" w:eastAsia="宋体" w:hAnsi="宋体" w:cs="宋体" w:hint="eastAsia"/>
                <w:color w:val="000000"/>
                <w:kern w:val="0"/>
                <w:sz w:val="24"/>
                <w:szCs w:val="24"/>
              </w:rPr>
              <w:t>以拨代支</w:t>
            </w:r>
            <w:proofErr w:type="gramEnd"/>
            <w:r w:rsidRPr="00970B64">
              <w:rPr>
                <w:rFonts w:ascii="宋体" w:eastAsia="宋体" w:hAnsi="宋体" w:cs="宋体" w:hint="eastAsia"/>
                <w:color w:val="000000"/>
                <w:kern w:val="0"/>
                <w:sz w:val="24"/>
                <w:szCs w:val="24"/>
              </w:rPr>
              <w:t>、虚假核销，未执行完的专家项目不能列入决算报表。</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lastRenderedPageBreak/>
              <w:t>第五章  会计账簿和报表</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第二十条 各单位应按照《行政单位会计制度》、《事业单位会计制度》和本实施细则的要求，设立会计账簿和会计科目，专家经费支出要进行项目核算，专家经费的收、支要分别核算，不能在往来科目中核算。</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第二十一条 各单位应于四月、七月、十月十五日前上报国家外国专家局专家项目预算执行情况表，并申请下季度经费。不上报预算执行情况表的单位不拨款。</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第二十二条 各单位专家经费决算报表应于下年度一月底前上报国家外国专家局。国家外国专家局将根据财政部决算批复及时批复各单位的专家经费决算，各单位应根据决算批复及时调整相关账目。</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第二十三条 各单位应按照规定的格式编报决算，决算报表要真实、完整，不允许</w:t>
            </w:r>
            <w:proofErr w:type="gramStart"/>
            <w:r w:rsidRPr="00970B64">
              <w:rPr>
                <w:rFonts w:ascii="宋体" w:eastAsia="宋体" w:hAnsi="宋体" w:cs="宋体" w:hint="eastAsia"/>
                <w:color w:val="000000"/>
                <w:kern w:val="0"/>
                <w:sz w:val="24"/>
                <w:szCs w:val="24"/>
              </w:rPr>
              <w:t>以拨代支</w:t>
            </w:r>
            <w:proofErr w:type="gramEnd"/>
            <w:r w:rsidRPr="00970B64">
              <w:rPr>
                <w:rFonts w:ascii="宋体" w:eastAsia="宋体" w:hAnsi="宋体" w:cs="宋体" w:hint="eastAsia"/>
                <w:color w:val="000000"/>
                <w:kern w:val="0"/>
                <w:sz w:val="24"/>
                <w:szCs w:val="24"/>
              </w:rPr>
              <w:t>、以</w:t>
            </w:r>
            <w:proofErr w:type="gramStart"/>
            <w:r w:rsidRPr="00970B64">
              <w:rPr>
                <w:rFonts w:ascii="宋体" w:eastAsia="宋体" w:hAnsi="宋体" w:cs="宋体" w:hint="eastAsia"/>
                <w:color w:val="000000"/>
                <w:kern w:val="0"/>
                <w:sz w:val="24"/>
                <w:szCs w:val="24"/>
              </w:rPr>
              <w:t>领代报</w:t>
            </w:r>
            <w:proofErr w:type="gramEnd"/>
            <w:r w:rsidRPr="00970B64">
              <w:rPr>
                <w:rFonts w:ascii="宋体" w:eastAsia="宋体" w:hAnsi="宋体" w:cs="宋体" w:hint="eastAsia"/>
                <w:color w:val="000000"/>
                <w:kern w:val="0"/>
                <w:sz w:val="24"/>
                <w:szCs w:val="24"/>
              </w:rPr>
              <w:t>等虚列决算的现象发生。</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t>第六章  监督与检查</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第二十四条 按照《引进国外人才专项费用管理暂行办法》的要求，加强专家经费的财务监督与检查，实行追踪问效，切实提高资金使用的安全性、规范性和有效性。对检查出的违规现象应及时纠正，情节严重的应按有关法律法规进行处理。</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t>第七章  附则</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第二十五条 《聘请外国专家资助标准》作为本实施细则的附件。</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第二十六条 本实施细则由国家外国专家局负责解释。</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第二十七条 本实施细则自发布之日起执行。《关于调整外国专家在华工作期间零用费标准的通知》（外专发〔2000〕151号）和《关于印发〈引进人才专家经费管理实施细则〉（暂行）的通知》（外专发〔2001〕7号）同时废止。在此之前颁布的规定与本实施细则相抵触的，以本实施细则为准。</w:t>
            </w:r>
          </w:p>
          <w:p w:rsidR="00970B64" w:rsidRPr="00970B64" w:rsidRDefault="00970B64" w:rsidP="00970B64">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附件：</w:t>
            </w:r>
          </w:p>
          <w:p w:rsidR="00970B64" w:rsidRPr="00970B64" w:rsidRDefault="00970B64" w:rsidP="00970B64">
            <w:pPr>
              <w:widowControl/>
              <w:spacing w:before="100" w:beforeAutospacing="1" w:after="100" w:afterAutospacing="1" w:line="360" w:lineRule="auto"/>
              <w:jc w:val="center"/>
              <w:rPr>
                <w:rFonts w:ascii="宋体" w:eastAsia="宋体" w:hAnsi="宋体" w:cs="宋体" w:hint="eastAsia"/>
                <w:color w:val="000000"/>
                <w:kern w:val="0"/>
                <w:sz w:val="24"/>
                <w:szCs w:val="24"/>
              </w:rPr>
            </w:pPr>
            <w:r w:rsidRPr="00970B64">
              <w:rPr>
                <w:rFonts w:ascii="宋体" w:eastAsia="宋体" w:hAnsi="宋体" w:cs="宋体" w:hint="eastAsia"/>
                <w:b/>
                <w:bCs/>
                <w:color w:val="000000"/>
                <w:kern w:val="0"/>
                <w:sz w:val="24"/>
                <w:szCs w:val="24"/>
              </w:rPr>
              <w:lastRenderedPageBreak/>
              <w:t>聘请外国专家资助标准</w:t>
            </w:r>
          </w:p>
          <w:p w:rsidR="00970B64" w:rsidRPr="00970B64" w:rsidRDefault="00970B64" w:rsidP="00970B64">
            <w:pPr>
              <w:widowControl/>
              <w:spacing w:before="100" w:beforeAutospacing="1" w:after="100" w:afterAutospacing="1" w:line="360" w:lineRule="auto"/>
              <w:jc w:val="right"/>
              <w:rPr>
                <w:rFonts w:ascii="宋体" w:eastAsia="宋体" w:hAnsi="宋体" w:cs="宋体" w:hint="eastAsia"/>
                <w:color w:val="000000"/>
                <w:kern w:val="0"/>
                <w:sz w:val="24"/>
                <w:szCs w:val="24"/>
              </w:rPr>
            </w:pPr>
            <w:r w:rsidRPr="00970B64">
              <w:rPr>
                <w:rFonts w:ascii="宋体" w:eastAsia="宋体" w:hAnsi="宋体" w:cs="宋体" w:hint="eastAsia"/>
                <w:color w:val="000000"/>
                <w:kern w:val="0"/>
                <w:sz w:val="24"/>
                <w:szCs w:val="24"/>
              </w:rPr>
              <w:t>             单位：人民币元/人次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28"/>
              <w:gridCol w:w="1332"/>
              <w:gridCol w:w="1403"/>
              <w:gridCol w:w="5980"/>
            </w:tblGrid>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b/>
                      <w:color w:val="000000"/>
                      <w:kern w:val="0"/>
                      <w:szCs w:val="21"/>
                    </w:rPr>
                    <w:t>序号</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b/>
                      <w:color w:val="000000"/>
                      <w:kern w:val="0"/>
                      <w:szCs w:val="21"/>
                    </w:rPr>
                    <w:t>科目名称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b/>
                      <w:color w:val="000000"/>
                      <w:kern w:val="0"/>
                      <w:szCs w:val="21"/>
                    </w:rPr>
                    <w:t>资助标准</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b/>
                      <w:color w:val="000000"/>
                      <w:kern w:val="0"/>
                      <w:szCs w:val="21"/>
                    </w:rPr>
                    <w:t>资助标准上限</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b/>
                      <w:color w:val="000000"/>
                      <w:kern w:val="0"/>
                      <w:szCs w:val="21"/>
                    </w:rPr>
                    <w:t>备           注</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1</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国际旅费</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经济舱</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15,000</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资助标准内实报实销一次往返经济舱国际机票费用或其他交通费用。</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2</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专家零用费</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200-300/天</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9,000</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最多资助天数为30天，超出部分由专家聘请单位支付。</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3</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专家生活费</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600/天</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18,000</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最多资助天数为30天，超出部分由专家聘请单位支付。</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4</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城市间交通费</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ˎ̥" w:eastAsia="宋体" w:hAnsi="ˎ̥" w:cs="宋体"/>
                      <w:color w:val="000000"/>
                      <w:kern w:val="0"/>
                      <w:szCs w:val="21"/>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3,000</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资助标准内实报实销入（出）</w:t>
                  </w:r>
                  <w:proofErr w:type="gramStart"/>
                  <w:r w:rsidRPr="00970B64">
                    <w:rPr>
                      <w:rFonts w:ascii="宋体" w:eastAsia="宋体" w:hAnsi="宋体" w:cs="宋体" w:hint="eastAsia"/>
                      <w:color w:val="000000"/>
                      <w:kern w:val="0"/>
                      <w:szCs w:val="21"/>
                    </w:rPr>
                    <w:t>境口岸</w:t>
                  </w:r>
                  <w:proofErr w:type="gramEnd"/>
                  <w:r w:rsidRPr="00970B64">
                    <w:rPr>
                      <w:rFonts w:ascii="宋体" w:eastAsia="宋体" w:hAnsi="宋体" w:cs="宋体" w:hint="eastAsia"/>
                      <w:color w:val="000000"/>
                      <w:kern w:val="0"/>
                      <w:szCs w:val="21"/>
                    </w:rPr>
                    <w:t>至工作城市一次往返中国境内交通费。</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5</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其他费用</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ˎ̥" w:eastAsia="宋体" w:hAnsi="ˎ̥" w:cs="宋体"/>
                      <w:color w:val="000000"/>
                      <w:kern w:val="0"/>
                      <w:szCs w:val="21"/>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ˎ̥" w:eastAsia="宋体" w:hAnsi="ˎ̥" w:cs="宋体"/>
                      <w:color w:val="000000"/>
                      <w:kern w:val="0"/>
                      <w:szCs w:val="21"/>
                    </w:rPr>
                    <w:t> </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须在项目执行过程中向国家外国专家局提出申请，待批准后方能支付。</w:t>
                  </w:r>
                </w:p>
              </w:tc>
            </w:tr>
            <w:tr w:rsidR="00970B64" w:rsidRPr="00970B64">
              <w:trPr>
                <w:trHeight w:val="1455"/>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ˎ̥" w:eastAsia="宋体" w:hAnsi="ˎ̥" w:cs="宋体"/>
                      <w:color w:val="000000"/>
                      <w:kern w:val="0"/>
                      <w:szCs w:val="21"/>
                    </w:rPr>
                    <w:t> </w:t>
                  </w:r>
                </w:p>
              </w:tc>
              <w:tc>
                <w:tcPr>
                  <w:tcW w:w="1402"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合计</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ˎ̥" w:eastAsia="宋体" w:hAnsi="ˎ̥" w:cs="宋体"/>
                      <w:color w:val="000000"/>
                      <w:kern w:val="0"/>
                      <w:szCs w:val="21"/>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center"/>
                    <w:rPr>
                      <w:rFonts w:ascii="ˎ̥" w:eastAsia="宋体" w:hAnsi="ˎ̥" w:cs="宋体"/>
                      <w:color w:val="000000"/>
                      <w:kern w:val="0"/>
                      <w:szCs w:val="21"/>
                    </w:rPr>
                  </w:pPr>
                  <w:r w:rsidRPr="00970B64">
                    <w:rPr>
                      <w:rFonts w:ascii="宋体" w:eastAsia="宋体" w:hAnsi="宋体" w:cs="宋体" w:hint="eastAsia"/>
                      <w:color w:val="000000"/>
                      <w:kern w:val="0"/>
                      <w:szCs w:val="21"/>
                    </w:rPr>
                    <w:t>45,000</w:t>
                  </w:r>
                </w:p>
              </w:tc>
              <w:tc>
                <w:tcPr>
                  <w:tcW w:w="7200" w:type="dxa"/>
                  <w:tcBorders>
                    <w:top w:val="single" w:sz="4" w:space="0" w:color="auto"/>
                    <w:left w:val="single" w:sz="4" w:space="0" w:color="auto"/>
                    <w:bottom w:val="single" w:sz="4" w:space="0" w:color="auto"/>
                    <w:right w:val="single" w:sz="4" w:space="0" w:color="auto"/>
                  </w:tcBorders>
                  <w:vAlign w:val="center"/>
                  <w:hideMark/>
                </w:tcPr>
                <w:p w:rsidR="00970B64" w:rsidRPr="00970B64" w:rsidRDefault="00970B64" w:rsidP="00970B64">
                  <w:pPr>
                    <w:widowControl/>
                    <w:spacing w:line="360" w:lineRule="auto"/>
                    <w:jc w:val="left"/>
                    <w:rPr>
                      <w:rFonts w:ascii="ˎ̥" w:eastAsia="宋体" w:hAnsi="ˎ̥" w:cs="宋体"/>
                      <w:color w:val="000000"/>
                      <w:kern w:val="0"/>
                      <w:szCs w:val="21"/>
                    </w:rPr>
                  </w:pPr>
                  <w:r w:rsidRPr="00970B64">
                    <w:rPr>
                      <w:rFonts w:ascii="宋体" w:eastAsia="宋体" w:hAnsi="宋体" w:cs="宋体" w:hint="eastAsia"/>
                      <w:color w:val="000000"/>
                      <w:kern w:val="0"/>
                      <w:szCs w:val="21"/>
                    </w:rPr>
                    <w:t>1-5项支出合计不能超过资助标准上限。</w:t>
                  </w:r>
                </w:p>
              </w:tc>
            </w:tr>
          </w:tbl>
          <w:p w:rsidR="00970B64" w:rsidRPr="00970B64" w:rsidRDefault="00970B64" w:rsidP="00970B64">
            <w:pPr>
              <w:widowControl/>
              <w:spacing w:line="360" w:lineRule="auto"/>
              <w:rPr>
                <w:rFonts w:ascii="Times New Roman" w:eastAsia="宋体" w:hAnsi="Times New Roman" w:cs="Times New Roman"/>
                <w:color w:val="000000"/>
                <w:kern w:val="0"/>
                <w:szCs w:val="21"/>
              </w:rPr>
            </w:pPr>
            <w:r w:rsidRPr="00970B64">
              <w:rPr>
                <w:rFonts w:ascii="Times New Roman" w:eastAsia="宋体" w:hAnsi="Times New Roman" w:cs="Times New Roman"/>
                <w:color w:val="000000"/>
                <w:kern w:val="0"/>
                <w:szCs w:val="21"/>
              </w:rPr>
              <w:t> </w:t>
            </w:r>
          </w:p>
        </w:tc>
      </w:tr>
    </w:tbl>
    <w:p w:rsidR="00F222CA" w:rsidRPr="00970B64" w:rsidRDefault="00F222CA"/>
    <w:sectPr w:rsidR="00F222CA" w:rsidRPr="0097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64"/>
    <w:rsid w:val="00970B64"/>
    <w:rsid w:val="00F2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2755</Characters>
  <Application>Microsoft Office Word</Application>
  <DocSecurity>0</DocSecurity>
  <Lines>22</Lines>
  <Paragraphs>6</Paragraphs>
  <ScaleCrop>false</ScaleCrop>
  <Company>USST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潘涛</dc:creator>
  <cp:lastModifiedBy>潘涛</cp:lastModifiedBy>
  <cp:revision>1</cp:revision>
  <dcterms:created xsi:type="dcterms:W3CDTF">2013-07-05T07:00:00Z</dcterms:created>
  <dcterms:modified xsi:type="dcterms:W3CDTF">2013-07-05T07:01:00Z</dcterms:modified>
</cp:coreProperties>
</file>