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63" w:rsidRPr="008B6163" w:rsidRDefault="008B6163" w:rsidP="008B6163">
      <w:pPr>
        <w:autoSpaceDE w:val="0"/>
        <w:autoSpaceDN w:val="0"/>
        <w:adjustRightInd w:val="0"/>
        <w:spacing w:line="360" w:lineRule="auto"/>
        <w:rPr>
          <w:rFonts w:ascii="FangSong" w:eastAsia="FangSong" w:hAnsiTheme="minorHAnsi" w:cs="FangSong"/>
          <w:b/>
          <w:bCs/>
          <w:sz w:val="28"/>
          <w:szCs w:val="28"/>
        </w:rPr>
      </w:pPr>
      <w:r w:rsidRPr="008B6163">
        <w:rPr>
          <w:rFonts w:ascii="FangSong" w:eastAsia="FangSong" w:hAnsiTheme="minorHAnsi" w:cs="FangSong" w:hint="eastAsia"/>
          <w:b/>
          <w:bCs/>
          <w:sz w:val="28"/>
          <w:szCs w:val="28"/>
        </w:rPr>
        <w:t>附件3：</w:t>
      </w:r>
      <w:r w:rsidRPr="008B6163">
        <w:rPr>
          <w:rFonts w:ascii="FangSong" w:eastAsia="FangSong" w:hAnsiTheme="minorHAnsi" w:cs="FangSong"/>
          <w:b/>
          <w:bCs/>
          <w:sz w:val="28"/>
          <w:szCs w:val="28"/>
        </w:rPr>
        <w:t>201</w:t>
      </w:r>
      <w:r w:rsidRPr="008B6163">
        <w:rPr>
          <w:rFonts w:ascii="FangSong" w:eastAsia="FangSong" w:hAnsiTheme="minorHAnsi" w:cs="FangSong" w:hint="eastAsia"/>
          <w:b/>
          <w:bCs/>
          <w:sz w:val="28"/>
          <w:szCs w:val="28"/>
        </w:rPr>
        <w:t>7年</w:t>
      </w:r>
      <w:r w:rsidRPr="008B6163">
        <w:rPr>
          <w:rFonts w:ascii="FangSong" w:eastAsia="FangSong" w:hAnsiTheme="minorHAnsi" w:cs="FangSong"/>
          <w:b/>
          <w:bCs/>
          <w:sz w:val="28"/>
          <w:szCs w:val="28"/>
        </w:rPr>
        <w:t>管理学院</w:t>
      </w:r>
      <w:r w:rsidRPr="008B6163">
        <w:rPr>
          <w:rFonts w:ascii="FangSong" w:eastAsia="FangSong" w:hAnsiTheme="minorHAnsi" w:cs="FangSong" w:hint="eastAsia"/>
          <w:b/>
          <w:bCs/>
          <w:sz w:val="28"/>
          <w:szCs w:val="28"/>
        </w:rPr>
        <w:t>第六届阳光杯辩论赛比赛规则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1.开篇陈词：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 w:hint="eastAsia"/>
          <w:sz w:val="24"/>
        </w:rPr>
        <w:t>1)</w:t>
      </w:r>
      <w:r w:rsidRPr="00A37ABD">
        <w:rPr>
          <w:rFonts w:asciiTheme="minorEastAsia" w:eastAsiaTheme="minorEastAsia" w:hAnsiTheme="minorEastAsia"/>
          <w:sz w:val="24"/>
        </w:rPr>
        <w:t>正方一辩立论陈词，时间为3分钟</w:t>
      </w:r>
      <w:r w:rsidRPr="00A37ABD">
        <w:rPr>
          <w:rFonts w:asciiTheme="minorEastAsia" w:eastAsiaTheme="minorEastAsia" w:hAnsiTheme="minorEastAsia" w:hint="eastAsia"/>
          <w:sz w:val="24"/>
        </w:rPr>
        <w:t>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 w:hint="eastAsia"/>
          <w:sz w:val="24"/>
        </w:rPr>
        <w:t>2)反方一辩理论陈词，时间为3分钟。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2.攻辩环节：共四轮，顺序为：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1)正方二辩（或三辩）挑选反方二辩（或三辩）进行攻辩；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2)反方二辩（或三辩）挑选正方二辩（或三辩）进行攻辩；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3)正方二辩（或三辩）未提问者提问反方二辩（或三辩）未被提问者；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4)反方二辩（或三辩）未提问者提问正方二辩（或三辩）未被提问者；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5)提问方提问总时间为1分钟。回答方回答总时间为1分半。累计计时，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问题个数不限。用时满时终止发言。每轮攻辩角色不得转换，辩方不得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反问但可使用反问语气；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6)正方一辩做攻辩小结，时间为1分钟</w:t>
      </w:r>
      <w:r w:rsidRPr="00A37ABD">
        <w:rPr>
          <w:rFonts w:asciiTheme="minorEastAsia" w:eastAsiaTheme="minorEastAsia" w:hAnsiTheme="minorEastAsia" w:hint="eastAsia"/>
          <w:sz w:val="24"/>
        </w:rPr>
        <w:t>；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 w:hint="eastAsia"/>
          <w:sz w:val="24"/>
        </w:rPr>
        <w:t xml:space="preserve">  反方一辩做攻辩小结，时间为1分钟。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3.自由辩论：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 xml:space="preserve">    </w:t>
      </w:r>
      <w:r w:rsidRPr="00A37ABD">
        <w:rPr>
          <w:rFonts w:asciiTheme="minorEastAsia" w:eastAsiaTheme="minorEastAsia" w:hAnsiTheme="minorEastAsia" w:hint="eastAsia"/>
          <w:sz w:val="24"/>
        </w:rPr>
        <w:t xml:space="preserve">    </w:t>
      </w:r>
      <w:r w:rsidRPr="00A37ABD">
        <w:rPr>
          <w:rFonts w:asciiTheme="minorEastAsia" w:eastAsiaTheme="minorEastAsia" w:hAnsiTheme="minorEastAsia"/>
          <w:sz w:val="24"/>
        </w:rPr>
        <w:t>正反双方选手交替发言，发言选手落座即为发言结束，同时为另一方发言开始的计时标志。另一方选手须立即发言，若有间隙，累计时间照常进行。同一方辩手发言次序不限。若一方时间用完，另一方可以继续发言，也可向</w:t>
      </w:r>
      <w:r w:rsidRPr="00A37ABD">
        <w:rPr>
          <w:rFonts w:asciiTheme="minorEastAsia" w:eastAsiaTheme="minorEastAsia" w:hAnsiTheme="minorEastAsia" w:hint="eastAsia"/>
          <w:sz w:val="24"/>
        </w:rPr>
        <w:t>主持人</w:t>
      </w:r>
      <w:r w:rsidRPr="00A37ABD">
        <w:rPr>
          <w:rFonts w:asciiTheme="minorEastAsia" w:eastAsiaTheme="minorEastAsia" w:hAnsiTheme="minorEastAsia"/>
          <w:sz w:val="24"/>
        </w:rPr>
        <w:t>示意放弃发言。双方累计时间各5分钟。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/>
          <w:sz w:val="24"/>
        </w:rPr>
        <w:t>4. 总结陈词:</w:t>
      </w:r>
    </w:p>
    <w:p w:rsidR="008B6163" w:rsidRPr="00A37ABD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 w:hint="eastAsia"/>
          <w:sz w:val="24"/>
        </w:rPr>
        <w:t>反方四辩总结陈词，时间为3分钟；</w:t>
      </w:r>
    </w:p>
    <w:p w:rsidR="00ED76B0" w:rsidRPr="008B6163" w:rsidRDefault="008B6163" w:rsidP="008B61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ABD">
        <w:rPr>
          <w:rFonts w:asciiTheme="minorEastAsia" w:eastAsiaTheme="minorEastAsia" w:hAnsiTheme="minorEastAsia" w:hint="eastAsia"/>
          <w:sz w:val="24"/>
        </w:rPr>
        <w:t>正</w:t>
      </w:r>
      <w:r w:rsidRPr="00A37ABD">
        <w:rPr>
          <w:rFonts w:asciiTheme="minorEastAsia" w:eastAsiaTheme="minorEastAsia" w:hAnsiTheme="minorEastAsia"/>
          <w:sz w:val="24"/>
        </w:rPr>
        <w:t>方四辩总结陈词，时间为3分钟</w:t>
      </w:r>
      <w:r w:rsidRPr="00A37ABD">
        <w:rPr>
          <w:rFonts w:asciiTheme="minorEastAsia" w:eastAsiaTheme="minorEastAsia" w:hAnsiTheme="minorEastAsia" w:hint="eastAsia"/>
          <w:sz w:val="24"/>
        </w:rPr>
        <w:t>。</w:t>
      </w:r>
      <w:bookmarkStart w:id="0" w:name="_GoBack"/>
      <w:bookmarkEnd w:id="0"/>
    </w:p>
    <w:sectPr w:rsidR="00ED76B0" w:rsidRPr="008B6163" w:rsidSect="000152C6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6B" w:rsidRDefault="0020286B" w:rsidP="00D43EC6">
      <w:r>
        <w:separator/>
      </w:r>
    </w:p>
  </w:endnote>
  <w:endnote w:type="continuationSeparator" w:id="0">
    <w:p w:rsidR="0020286B" w:rsidRDefault="0020286B" w:rsidP="00D4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Arial Unicode MS"/>
    <w:charset w:val="86"/>
    <w:family w:val="auto"/>
    <w:pitch w:val="variable"/>
    <w:sig w:usb0="00000001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6B" w:rsidRDefault="0020286B" w:rsidP="00D43EC6">
      <w:r>
        <w:separator/>
      </w:r>
    </w:p>
  </w:footnote>
  <w:footnote w:type="continuationSeparator" w:id="0">
    <w:p w:rsidR="0020286B" w:rsidRDefault="0020286B" w:rsidP="00D4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63"/>
    <w:rsid w:val="000152C6"/>
    <w:rsid w:val="0020286B"/>
    <w:rsid w:val="002175D9"/>
    <w:rsid w:val="00291BDA"/>
    <w:rsid w:val="008B6163"/>
    <w:rsid w:val="00D43EC6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A6009-7D81-45D3-93BE-B51F5D55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  <w:pPr>
      <w:widowControl/>
      <w:spacing w:after="120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widowControl/>
      <w:jc w:val="left"/>
    </w:pPr>
    <w:rPr>
      <w:rFonts w:asciiTheme="minorHAnsi" w:eastAsiaTheme="minorEastAsia" w:hAnsiTheme="minorHAnsi" w:cstheme="minorBidi"/>
      <w:b/>
      <w:bCs/>
      <w:kern w:val="0"/>
      <w:sz w:val="16"/>
      <w:szCs w:val="18"/>
      <w:lang w:val="en-GB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paragraph" w:customStyle="1" w:styleId="A">
    <w:name w:val="正文 A"/>
    <w:rsid w:val="008B6163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Deloitte Touche Tohmatsu Services, Inc.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Jing Zhou</dc:creator>
  <cp:keywords/>
  <dc:description/>
  <cp:lastModifiedBy>Ivy Jing Zhou</cp:lastModifiedBy>
  <cp:revision>1</cp:revision>
  <dcterms:created xsi:type="dcterms:W3CDTF">2017-05-02T09:05:00Z</dcterms:created>
  <dcterms:modified xsi:type="dcterms:W3CDTF">2017-05-02T09:07:00Z</dcterms:modified>
</cp:coreProperties>
</file>